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3D30" w14:textId="77777777" w:rsidR="00453581" w:rsidRDefault="00453581" w:rsidP="00453581">
      <w:pPr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noProof/>
          <w:sz w:val="44"/>
          <w:szCs w:val="44"/>
        </w:rPr>
        <w:drawing>
          <wp:inline distT="0" distB="0" distL="0" distR="0" wp14:anchorId="1D26A218" wp14:editId="0D189C83">
            <wp:extent cx="1426210" cy="777240"/>
            <wp:effectExtent l="0" t="0" r="2540" b="3810"/>
            <wp:docPr id="922889060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/>
          <w:sz w:val="44"/>
          <w:szCs w:val="44"/>
        </w:rPr>
        <w:t xml:space="preserve"> </w:t>
      </w:r>
      <w:r>
        <w:rPr>
          <w:rFonts w:ascii="Copperplate Gothic Bold" w:hAnsi="Copperplate Gothic Bold"/>
          <w:sz w:val="40"/>
          <w:szCs w:val="40"/>
        </w:rPr>
        <w:t>HIGHLEY PARISH COUNCIL</w:t>
      </w:r>
    </w:p>
    <w:p w14:paraId="046DB7D1" w14:textId="77777777" w:rsidR="00D34157" w:rsidRDefault="00D34157" w:rsidP="00D34157">
      <w:pPr>
        <w:pStyle w:val="NoSpacing"/>
        <w:rPr>
          <w:rFonts w:asciiTheme="majorHAnsi" w:hAnsiTheme="majorHAnsi"/>
          <w:sz w:val="24"/>
          <w:szCs w:val="24"/>
        </w:rPr>
      </w:pPr>
    </w:p>
    <w:p w14:paraId="0031801B" w14:textId="77777777" w:rsidR="00D34157" w:rsidRDefault="00D34157" w:rsidP="00D3415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-----------------------------------------------------------------------------------------------------------</w:t>
      </w:r>
    </w:p>
    <w:p w14:paraId="060C419C" w14:textId="445BE70E" w:rsidR="00D34157" w:rsidRDefault="00D34157" w:rsidP="00D34157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Minutes of the Highley Parish Council Meeting held in the library of The Severn Centre on Tuesday </w:t>
      </w:r>
      <w:r w:rsidR="001E6CDC">
        <w:rPr>
          <w:rFonts w:asciiTheme="majorHAnsi" w:hAnsiTheme="majorHAnsi"/>
          <w:b/>
          <w:bCs/>
          <w:sz w:val="28"/>
          <w:szCs w:val="28"/>
        </w:rPr>
        <w:t>6</w:t>
      </w:r>
      <w:r w:rsidRPr="008A5C68">
        <w:rPr>
          <w:rFonts w:asciiTheme="majorHAnsi" w:hAnsiTheme="majorHAnsi"/>
          <w:b/>
          <w:bCs/>
          <w:sz w:val="28"/>
          <w:szCs w:val="28"/>
          <w:vertAlign w:val="superscript"/>
        </w:rPr>
        <w:t>th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1E6CDC">
        <w:rPr>
          <w:rFonts w:asciiTheme="majorHAnsi" w:hAnsiTheme="majorHAnsi"/>
          <w:b/>
          <w:bCs/>
          <w:sz w:val="28"/>
          <w:szCs w:val="28"/>
        </w:rPr>
        <w:t>May</w:t>
      </w:r>
      <w:r>
        <w:rPr>
          <w:rFonts w:asciiTheme="majorHAnsi" w:hAnsiTheme="majorHAnsi"/>
          <w:b/>
          <w:bCs/>
          <w:sz w:val="28"/>
          <w:szCs w:val="28"/>
        </w:rPr>
        <w:t xml:space="preserve"> 2025 at 7pm</w:t>
      </w:r>
    </w:p>
    <w:p w14:paraId="1F3DC130" w14:textId="77777777" w:rsidR="00D34157" w:rsidRDefault="00D34157" w:rsidP="00D34157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1F29032D" w14:textId="4731B851" w:rsidR="00D34157" w:rsidRDefault="00D34157" w:rsidP="00D3415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Present: </w:t>
      </w:r>
      <w:r>
        <w:rPr>
          <w:rFonts w:asciiTheme="majorHAnsi" w:hAnsiTheme="majorHAnsi"/>
          <w:sz w:val="24"/>
          <w:szCs w:val="24"/>
        </w:rPr>
        <w:t xml:space="preserve">Cllr T. Quinn (Chair) </w:t>
      </w:r>
      <w:r w:rsidR="00B2322D">
        <w:rPr>
          <w:rFonts w:asciiTheme="majorHAnsi" w:hAnsiTheme="majorHAnsi"/>
          <w:sz w:val="24"/>
          <w:szCs w:val="24"/>
        </w:rPr>
        <w:t xml:space="preserve">Cllr. T. Pinches (Vice-Chair), </w:t>
      </w:r>
      <w:r>
        <w:rPr>
          <w:rFonts w:asciiTheme="majorHAnsi" w:hAnsiTheme="majorHAnsi"/>
          <w:sz w:val="24"/>
          <w:szCs w:val="24"/>
        </w:rPr>
        <w:t xml:space="preserve">L. Hodnett, D. Thakrar, P. Vinall, H. Hancox, </w:t>
      </w:r>
      <w:r w:rsidRPr="00FD1400">
        <w:rPr>
          <w:rFonts w:asciiTheme="majorHAnsi" w:hAnsiTheme="majorHAnsi"/>
          <w:sz w:val="24"/>
          <w:szCs w:val="24"/>
        </w:rPr>
        <w:t>C. Stanley, E. Aspin</w:t>
      </w:r>
      <w:r w:rsidR="00B2322D">
        <w:rPr>
          <w:rFonts w:asciiTheme="majorHAnsi" w:hAnsiTheme="majorHAnsi"/>
          <w:sz w:val="24"/>
          <w:szCs w:val="24"/>
        </w:rPr>
        <w:t>, A. Edwards</w:t>
      </w:r>
      <w:r w:rsidR="00CC2313">
        <w:rPr>
          <w:rFonts w:asciiTheme="majorHAnsi" w:hAnsiTheme="majorHAnsi"/>
          <w:sz w:val="24"/>
          <w:szCs w:val="24"/>
        </w:rPr>
        <w:t>.</w:t>
      </w:r>
    </w:p>
    <w:p w14:paraId="036B9381" w14:textId="77777777" w:rsidR="00D34157" w:rsidRDefault="00D34157" w:rsidP="00D3415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510675E5" w14:textId="77777777" w:rsidR="00D34157" w:rsidRDefault="00D34157" w:rsidP="00D3415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Clerk: </w:t>
      </w:r>
      <w:r>
        <w:rPr>
          <w:rFonts w:asciiTheme="majorHAnsi" w:hAnsiTheme="majorHAnsi"/>
          <w:sz w:val="24"/>
          <w:szCs w:val="24"/>
        </w:rPr>
        <w:t>Alison Palmer</w:t>
      </w:r>
    </w:p>
    <w:p w14:paraId="652C74E7" w14:textId="77777777" w:rsidR="00453581" w:rsidRDefault="00453581" w:rsidP="00453581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5E71B6A5" w14:textId="77777777" w:rsidR="00453581" w:rsidRPr="00D13371" w:rsidRDefault="00453581" w:rsidP="00453581">
      <w:pPr>
        <w:pStyle w:val="NoSpacing"/>
        <w:rPr>
          <w:rFonts w:asciiTheme="majorHAnsi" w:hAnsiTheme="majorHAnsi" w:cs="Segoe UI Historic"/>
          <w:color w:val="000000" w:themeColor="text1"/>
          <w:sz w:val="23"/>
          <w:szCs w:val="23"/>
          <w:shd w:val="clear" w:color="auto" w:fill="F0F2F5"/>
        </w:rPr>
      </w:pPr>
    </w:p>
    <w:p w14:paraId="4B78CD81" w14:textId="77777777" w:rsidR="00453581" w:rsidRDefault="00453581" w:rsidP="00453581">
      <w:pPr>
        <w:pStyle w:val="NoSpacing"/>
        <w:numPr>
          <w:ilvl w:val="0"/>
          <w:numId w:val="5"/>
        </w:numPr>
        <w:rPr>
          <w:rFonts w:asciiTheme="majorHAnsi" w:hAnsiTheme="majorHAnsi" w:cs="Segoe UI Historic"/>
          <w:b/>
          <w:bCs/>
          <w:color w:val="000000" w:themeColor="text1"/>
          <w:sz w:val="28"/>
          <w:szCs w:val="28"/>
          <w:shd w:val="clear" w:color="auto" w:fill="F0F2F5"/>
        </w:rPr>
      </w:pPr>
      <w:r>
        <w:rPr>
          <w:rFonts w:asciiTheme="majorHAnsi" w:hAnsiTheme="majorHAnsi" w:cs="Segoe UI Historic"/>
          <w:b/>
          <w:bCs/>
          <w:color w:val="000000" w:themeColor="text1"/>
          <w:sz w:val="28"/>
          <w:szCs w:val="28"/>
          <w:shd w:val="clear" w:color="auto" w:fill="F0F2F5"/>
        </w:rPr>
        <w:t>Appointment of Chairperson and completion of Declarations of Acceptance of Office (Chair and Councillors)</w:t>
      </w:r>
    </w:p>
    <w:p w14:paraId="3A6F8535" w14:textId="77777777" w:rsidR="00B7351B" w:rsidRDefault="00B7351B" w:rsidP="00B7351B">
      <w:pPr>
        <w:pStyle w:val="NoSpacing"/>
        <w:ind w:left="720"/>
        <w:rPr>
          <w:rFonts w:asciiTheme="majorHAnsi" w:hAnsiTheme="majorHAnsi" w:cs="Segoe UI Historic"/>
          <w:b/>
          <w:bCs/>
          <w:color w:val="000000" w:themeColor="text1"/>
          <w:sz w:val="28"/>
          <w:szCs w:val="28"/>
          <w:shd w:val="clear" w:color="auto" w:fill="F0F2F5"/>
        </w:rPr>
      </w:pPr>
    </w:p>
    <w:p w14:paraId="24C47F38" w14:textId="77777777" w:rsidR="004B322B" w:rsidRDefault="004B322B" w:rsidP="00E14E37">
      <w:pPr>
        <w:pStyle w:val="NoSpacing"/>
        <w:ind w:left="720"/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</w:pPr>
      <w:r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  <w:t>Chair:</w:t>
      </w:r>
    </w:p>
    <w:p w14:paraId="4FF5DD9A" w14:textId="437B0F17" w:rsidR="00E14E37" w:rsidRDefault="004B322B" w:rsidP="00E14E37">
      <w:pPr>
        <w:pStyle w:val="NoSpacing"/>
        <w:ind w:left="720"/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</w:pPr>
      <w:r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  <w:t xml:space="preserve">DT proposed TQ </w:t>
      </w:r>
      <w:r w:rsidR="00590B2D"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  <w:t>seconded TP – all in favour</w:t>
      </w:r>
    </w:p>
    <w:p w14:paraId="622D7082" w14:textId="6787D93B" w:rsidR="00590B2D" w:rsidRDefault="00590B2D" w:rsidP="00E14E37">
      <w:pPr>
        <w:pStyle w:val="NoSpacing"/>
        <w:ind w:left="720"/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</w:pPr>
      <w:r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  <w:t>Councillor Quinn to remain as Chair</w:t>
      </w:r>
    </w:p>
    <w:p w14:paraId="040E231F" w14:textId="77777777" w:rsidR="00D4483C" w:rsidRPr="004B322B" w:rsidRDefault="00D4483C" w:rsidP="00E14E37">
      <w:pPr>
        <w:pStyle w:val="NoSpacing"/>
        <w:ind w:left="720"/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</w:pPr>
    </w:p>
    <w:p w14:paraId="0EA0BED1" w14:textId="77777777" w:rsidR="004B322B" w:rsidRPr="004B322B" w:rsidRDefault="00A048A7" w:rsidP="00E14E37">
      <w:pPr>
        <w:pStyle w:val="NoSpacing"/>
        <w:ind w:left="720"/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</w:pPr>
      <w:r w:rsidRPr="004B322B"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  <w:t>Vice-Chair</w:t>
      </w:r>
      <w:r w:rsidR="004B322B" w:rsidRPr="004B322B"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  <w:t>:</w:t>
      </w:r>
    </w:p>
    <w:p w14:paraId="43CF4B11" w14:textId="5EE4E7E2" w:rsidR="002C1D7D" w:rsidRPr="004B322B" w:rsidRDefault="00B64FED" w:rsidP="00E14E37">
      <w:pPr>
        <w:pStyle w:val="NoSpacing"/>
        <w:ind w:left="720"/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</w:pPr>
      <w:r w:rsidRPr="004B322B"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  <w:t>HH proposed AH (no seconder)</w:t>
      </w:r>
    </w:p>
    <w:p w14:paraId="3F24B8D9" w14:textId="1AA75468" w:rsidR="00B64FED" w:rsidRPr="004B322B" w:rsidRDefault="00B64FED" w:rsidP="00E14E37">
      <w:pPr>
        <w:pStyle w:val="NoSpacing"/>
        <w:ind w:left="720"/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</w:pPr>
      <w:r w:rsidRPr="004B322B"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  <w:t xml:space="preserve">TQ proposed TP </w:t>
      </w:r>
      <w:r w:rsidR="002045FE" w:rsidRPr="004B322B"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  <w:t>seconded</w:t>
      </w:r>
      <w:r w:rsidR="002A2625" w:rsidRPr="004B322B"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  <w:t xml:space="preserve"> DT – all in favour</w:t>
      </w:r>
    </w:p>
    <w:p w14:paraId="79B4540F" w14:textId="60F1A2B6" w:rsidR="00B7351B" w:rsidRPr="004B322B" w:rsidRDefault="008D3DF2" w:rsidP="00E14E37">
      <w:pPr>
        <w:pStyle w:val="NoSpacing"/>
        <w:ind w:left="720"/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</w:pPr>
      <w:r w:rsidRPr="004B322B"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  <w:t>Councill</w:t>
      </w:r>
      <w:r w:rsidR="008B5486" w:rsidRPr="004B322B"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  <w:t>or Pinches to remain as Vice-Chair</w:t>
      </w:r>
      <w:r w:rsidR="00BA41BE" w:rsidRPr="004B322B">
        <w:rPr>
          <w:rFonts w:asciiTheme="majorHAnsi" w:hAnsiTheme="majorHAnsi" w:cs="Segoe UI Historic"/>
          <w:color w:val="000000" w:themeColor="text1"/>
          <w:sz w:val="28"/>
          <w:szCs w:val="28"/>
          <w:shd w:val="clear" w:color="auto" w:fill="F0F2F5"/>
        </w:rPr>
        <w:t xml:space="preserve"> </w:t>
      </w:r>
    </w:p>
    <w:p w14:paraId="42AB4D8B" w14:textId="77777777" w:rsidR="00B7351B" w:rsidRDefault="00B7351B" w:rsidP="00E14E37">
      <w:pPr>
        <w:pStyle w:val="NoSpacing"/>
        <w:ind w:left="720"/>
        <w:rPr>
          <w:rFonts w:asciiTheme="majorHAnsi" w:hAnsiTheme="majorHAnsi" w:cs="Segoe UI Historic"/>
          <w:b/>
          <w:bCs/>
          <w:color w:val="000000" w:themeColor="text1"/>
          <w:sz w:val="28"/>
          <w:szCs w:val="28"/>
          <w:shd w:val="clear" w:color="auto" w:fill="F0F2F5"/>
        </w:rPr>
      </w:pPr>
    </w:p>
    <w:p w14:paraId="7470A77A" w14:textId="2ECF33FC" w:rsidR="00453581" w:rsidRPr="00D4483C" w:rsidRDefault="00453581" w:rsidP="00453581">
      <w:pPr>
        <w:pStyle w:val="NoSpacing"/>
        <w:numPr>
          <w:ilvl w:val="0"/>
          <w:numId w:val="5"/>
        </w:num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 w:cs="Segoe UI Historic"/>
          <w:b/>
          <w:bCs/>
          <w:color w:val="000000" w:themeColor="text1"/>
          <w:sz w:val="28"/>
          <w:szCs w:val="28"/>
          <w:shd w:val="clear" w:color="auto" w:fill="F0F2F5"/>
        </w:rPr>
        <w:t xml:space="preserve">Disclosable Pecuniary Interests (DPI) and Other Registrable Interests (ORI) completed by all councillors. </w:t>
      </w:r>
      <w:r w:rsidR="008E6D2C" w:rsidRPr="00D4483C">
        <w:rPr>
          <w:rFonts w:asciiTheme="majorHAnsi" w:hAnsiTheme="majorHAnsi" w:cs="Segoe UI Historic"/>
          <w:sz w:val="28"/>
          <w:szCs w:val="28"/>
          <w:shd w:val="clear" w:color="auto" w:fill="F0F2F5"/>
        </w:rPr>
        <w:t xml:space="preserve">This will now be ONLINE and the individual </w:t>
      </w:r>
      <w:r w:rsidR="005549E7" w:rsidRPr="00D4483C">
        <w:rPr>
          <w:rFonts w:asciiTheme="majorHAnsi" w:hAnsiTheme="majorHAnsi" w:cs="Segoe UI Historic"/>
          <w:sz w:val="28"/>
          <w:szCs w:val="28"/>
          <w:shd w:val="clear" w:color="auto" w:fill="F0F2F5"/>
        </w:rPr>
        <w:t>councillor’s</w:t>
      </w:r>
      <w:r w:rsidR="008E6D2C" w:rsidRPr="00D4483C">
        <w:rPr>
          <w:rFonts w:asciiTheme="majorHAnsi" w:hAnsiTheme="majorHAnsi" w:cs="Segoe UI Historic"/>
          <w:sz w:val="28"/>
          <w:szCs w:val="28"/>
          <w:shd w:val="clear" w:color="auto" w:fill="F0F2F5"/>
        </w:rPr>
        <w:t xml:space="preserve"> responsibility – they will be contacted directly by Shropshire Elections Team</w:t>
      </w:r>
    </w:p>
    <w:p w14:paraId="20D5D674" w14:textId="77777777" w:rsidR="00453581" w:rsidRPr="00D13371" w:rsidRDefault="00453581" w:rsidP="00453581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3EDF1161" w14:textId="675DD1CB" w:rsidR="00453581" w:rsidRPr="003C31CE" w:rsidRDefault="00453581" w:rsidP="00453581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D13371">
        <w:rPr>
          <w:rFonts w:asciiTheme="majorHAnsi" w:hAnsiTheme="majorHAnsi"/>
          <w:b/>
          <w:bCs/>
          <w:sz w:val="24"/>
          <w:szCs w:val="24"/>
        </w:rPr>
        <w:t>01.Apologies for Absence</w:t>
      </w:r>
    </w:p>
    <w:p w14:paraId="7DD4D24A" w14:textId="77777777" w:rsidR="00F64ED2" w:rsidRDefault="005549E7" w:rsidP="00453581">
      <w:pPr>
        <w:pStyle w:val="NoSpacing"/>
        <w:rPr>
          <w:rFonts w:asciiTheme="majorHAnsi" w:hAnsiTheme="majorHAnsi"/>
          <w:sz w:val="24"/>
          <w:szCs w:val="24"/>
        </w:rPr>
      </w:pPr>
      <w:r w:rsidRPr="0094562C">
        <w:rPr>
          <w:rFonts w:asciiTheme="majorHAnsi" w:hAnsiTheme="majorHAnsi"/>
          <w:sz w:val="24"/>
          <w:szCs w:val="24"/>
        </w:rPr>
        <w:t xml:space="preserve">Councillor </w:t>
      </w:r>
      <w:r w:rsidR="00172E9B" w:rsidRPr="0094562C">
        <w:rPr>
          <w:rFonts w:asciiTheme="majorHAnsi" w:hAnsiTheme="majorHAnsi"/>
          <w:sz w:val="24"/>
          <w:szCs w:val="24"/>
        </w:rPr>
        <w:t xml:space="preserve">S. </w:t>
      </w:r>
      <w:r w:rsidRPr="0094562C">
        <w:rPr>
          <w:rFonts w:asciiTheme="majorHAnsi" w:hAnsiTheme="majorHAnsi"/>
          <w:sz w:val="24"/>
          <w:szCs w:val="24"/>
        </w:rPr>
        <w:t xml:space="preserve">Bunn, </w:t>
      </w:r>
      <w:r w:rsidR="00172E9B" w:rsidRPr="0094562C">
        <w:rPr>
          <w:rFonts w:asciiTheme="majorHAnsi" w:hAnsiTheme="majorHAnsi"/>
          <w:sz w:val="24"/>
          <w:szCs w:val="24"/>
        </w:rPr>
        <w:t>J. Marshall, A Hancox, J Law.</w:t>
      </w:r>
      <w:r w:rsidR="003C31CE">
        <w:rPr>
          <w:rFonts w:asciiTheme="majorHAnsi" w:hAnsiTheme="majorHAnsi"/>
          <w:sz w:val="24"/>
          <w:szCs w:val="24"/>
        </w:rPr>
        <w:t xml:space="preserve"> </w:t>
      </w:r>
    </w:p>
    <w:p w14:paraId="0E046793" w14:textId="14182875" w:rsidR="005549E7" w:rsidRPr="0094562C" w:rsidRDefault="003C31CE" w:rsidP="0045358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 w:rsidR="004F1A22">
        <w:rPr>
          <w:rFonts w:asciiTheme="majorHAnsi" w:hAnsiTheme="majorHAnsi"/>
          <w:b/>
          <w:bCs/>
          <w:sz w:val="24"/>
          <w:szCs w:val="24"/>
        </w:rPr>
        <w:t>RESOLVED</w:t>
      </w:r>
      <w:r w:rsidRPr="003C31CE">
        <w:rPr>
          <w:rFonts w:asciiTheme="majorHAnsi" w:hAnsiTheme="majorHAnsi"/>
          <w:b/>
          <w:bCs/>
          <w:sz w:val="24"/>
          <w:szCs w:val="24"/>
        </w:rPr>
        <w:t xml:space="preserve"> to ACCEPT</w:t>
      </w:r>
      <w:r>
        <w:rPr>
          <w:rFonts w:asciiTheme="majorHAnsi" w:hAnsiTheme="majorHAnsi"/>
          <w:sz w:val="24"/>
          <w:szCs w:val="24"/>
        </w:rPr>
        <w:t xml:space="preserve"> the apologies</w:t>
      </w:r>
    </w:p>
    <w:p w14:paraId="3F40EE21" w14:textId="0E9EE3D8" w:rsidR="00453581" w:rsidRPr="00D13371" w:rsidRDefault="00453581" w:rsidP="00453581">
      <w:pPr>
        <w:pStyle w:val="NoSpacing"/>
        <w:rPr>
          <w:rFonts w:asciiTheme="majorHAnsi" w:hAnsiTheme="majorHAnsi"/>
          <w:color w:val="FF0000"/>
          <w:sz w:val="24"/>
          <w:szCs w:val="24"/>
        </w:rPr>
      </w:pPr>
    </w:p>
    <w:p w14:paraId="4025B74F" w14:textId="200486A0" w:rsidR="00453581" w:rsidRPr="00D13371" w:rsidRDefault="00453581" w:rsidP="00453581">
      <w:pPr>
        <w:pStyle w:val="NoSpacing"/>
        <w:rPr>
          <w:rFonts w:asciiTheme="majorHAnsi" w:hAnsiTheme="majorHAnsi"/>
          <w:sz w:val="24"/>
          <w:szCs w:val="24"/>
        </w:rPr>
      </w:pPr>
      <w:r w:rsidRPr="00D13371">
        <w:rPr>
          <w:rFonts w:asciiTheme="majorHAnsi" w:hAnsiTheme="majorHAnsi"/>
          <w:b/>
          <w:bCs/>
          <w:sz w:val="24"/>
          <w:szCs w:val="24"/>
        </w:rPr>
        <w:t>02.Declarations of Interest</w:t>
      </w:r>
      <w:r w:rsidR="003C31CE">
        <w:rPr>
          <w:rFonts w:asciiTheme="majorHAnsi" w:hAnsiTheme="majorHAnsi"/>
          <w:b/>
          <w:bCs/>
          <w:sz w:val="24"/>
          <w:szCs w:val="24"/>
        </w:rPr>
        <w:t xml:space="preserve"> - </w:t>
      </w:r>
      <w:r w:rsidR="00E15F39">
        <w:rPr>
          <w:rFonts w:asciiTheme="majorHAnsi" w:hAnsiTheme="majorHAnsi"/>
          <w:sz w:val="24"/>
          <w:szCs w:val="24"/>
        </w:rPr>
        <w:t>No declarations were made</w:t>
      </w:r>
      <w:r w:rsidR="003C31CE">
        <w:rPr>
          <w:rFonts w:asciiTheme="majorHAnsi" w:hAnsiTheme="majorHAnsi"/>
          <w:sz w:val="24"/>
          <w:szCs w:val="24"/>
        </w:rPr>
        <w:t>.</w:t>
      </w:r>
    </w:p>
    <w:p w14:paraId="01F62B64" w14:textId="77777777" w:rsidR="00453581" w:rsidRPr="00D13371" w:rsidRDefault="00453581" w:rsidP="00453581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0904BD99" w14:textId="7A3E8485" w:rsidR="00533CA9" w:rsidRPr="00533CA9" w:rsidRDefault="00453581" w:rsidP="00453581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D13371">
        <w:rPr>
          <w:rFonts w:asciiTheme="majorHAnsi" w:hAnsiTheme="majorHAnsi"/>
          <w:b/>
          <w:bCs/>
          <w:sz w:val="24"/>
          <w:szCs w:val="24"/>
        </w:rPr>
        <w:t>03. Parishioners Question Time</w:t>
      </w:r>
    </w:p>
    <w:p w14:paraId="624329FE" w14:textId="778D2143" w:rsidR="00453581" w:rsidRPr="00110B9D" w:rsidRDefault="00110B9D" w:rsidP="00453581">
      <w:pPr>
        <w:pStyle w:val="NoSpacing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Mr A spoke regarding the churchyard maintenance contract and the Chair said he will respond over the coming week. </w:t>
      </w:r>
      <w:r w:rsidR="00853D21">
        <w:rPr>
          <w:rFonts w:asciiTheme="majorHAnsi" w:hAnsiTheme="majorHAnsi"/>
          <w:bCs/>
          <w:iCs/>
          <w:sz w:val="24"/>
          <w:szCs w:val="24"/>
        </w:rPr>
        <w:t xml:space="preserve">An item for discussion at the next meeting is added to June agenda (transcript available and attached) </w:t>
      </w:r>
    </w:p>
    <w:p w14:paraId="45AEF241" w14:textId="7C41EC6A" w:rsidR="00453581" w:rsidRPr="00D13371" w:rsidRDefault="00853D21" w:rsidP="00453581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br/>
      </w:r>
      <w:r w:rsidR="00453581" w:rsidRPr="00D13371">
        <w:rPr>
          <w:rFonts w:asciiTheme="majorHAnsi" w:hAnsiTheme="majorHAnsi"/>
          <w:b/>
          <w:bCs/>
          <w:sz w:val="24"/>
          <w:szCs w:val="24"/>
        </w:rPr>
        <w:t>04. Minutes</w:t>
      </w:r>
    </w:p>
    <w:p w14:paraId="6390808D" w14:textId="62202F93" w:rsidR="00453581" w:rsidRPr="00D13371" w:rsidRDefault="00AE6ED8" w:rsidP="0045358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 w:rsidR="004F1A22">
        <w:rPr>
          <w:rFonts w:asciiTheme="majorHAnsi" w:hAnsiTheme="majorHAnsi"/>
          <w:b/>
          <w:bCs/>
          <w:sz w:val="24"/>
          <w:szCs w:val="24"/>
        </w:rPr>
        <w:t>RESOLVED</w:t>
      </w:r>
      <w:r w:rsidR="00071B2F" w:rsidRPr="00071B2F">
        <w:rPr>
          <w:rFonts w:asciiTheme="majorHAnsi" w:hAnsiTheme="majorHAnsi"/>
          <w:b/>
          <w:bCs/>
          <w:sz w:val="24"/>
          <w:szCs w:val="24"/>
        </w:rPr>
        <w:t xml:space="preserve"> to ACCEPT</w:t>
      </w:r>
      <w:r w:rsidR="00071B2F">
        <w:rPr>
          <w:rFonts w:asciiTheme="majorHAnsi" w:hAnsiTheme="majorHAnsi"/>
          <w:sz w:val="24"/>
          <w:szCs w:val="24"/>
        </w:rPr>
        <w:t xml:space="preserve"> </w:t>
      </w:r>
      <w:r w:rsidR="00453581" w:rsidRPr="00D13371">
        <w:rPr>
          <w:rFonts w:asciiTheme="majorHAnsi" w:hAnsiTheme="majorHAnsi"/>
          <w:sz w:val="24"/>
          <w:szCs w:val="24"/>
        </w:rPr>
        <w:t>the</w:t>
      </w:r>
      <w:r w:rsidR="005D4905">
        <w:rPr>
          <w:rFonts w:asciiTheme="majorHAnsi" w:hAnsiTheme="majorHAnsi"/>
          <w:sz w:val="24"/>
          <w:szCs w:val="24"/>
        </w:rPr>
        <w:t>se</w:t>
      </w:r>
      <w:r w:rsidR="00453581" w:rsidRPr="00D13371">
        <w:rPr>
          <w:rFonts w:asciiTheme="majorHAnsi" w:hAnsiTheme="majorHAnsi"/>
          <w:sz w:val="24"/>
          <w:szCs w:val="24"/>
        </w:rPr>
        <w:t xml:space="preserve"> minutes</w:t>
      </w:r>
      <w:r w:rsidR="005D4905">
        <w:rPr>
          <w:rFonts w:asciiTheme="majorHAnsi" w:hAnsiTheme="majorHAnsi"/>
          <w:sz w:val="24"/>
          <w:szCs w:val="24"/>
        </w:rPr>
        <w:t>.</w:t>
      </w:r>
    </w:p>
    <w:p w14:paraId="39A0925D" w14:textId="77777777" w:rsidR="00453581" w:rsidRPr="00D13371" w:rsidRDefault="00453581" w:rsidP="00453581">
      <w:pPr>
        <w:pStyle w:val="NoSpacing"/>
        <w:rPr>
          <w:rFonts w:asciiTheme="majorHAnsi" w:hAnsiTheme="majorHAnsi"/>
          <w:sz w:val="24"/>
          <w:szCs w:val="24"/>
        </w:rPr>
      </w:pPr>
    </w:p>
    <w:p w14:paraId="601BDE43" w14:textId="4BE7DE47" w:rsidR="00453581" w:rsidRPr="00D13371" w:rsidRDefault="00453581" w:rsidP="00453581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D13371">
        <w:rPr>
          <w:rFonts w:asciiTheme="majorHAnsi" w:hAnsiTheme="majorHAnsi"/>
          <w:b/>
          <w:bCs/>
          <w:sz w:val="24"/>
          <w:szCs w:val="24"/>
        </w:rPr>
        <w:t>05. Clerks Update</w:t>
      </w:r>
      <w:bookmarkStart w:id="0" w:name="_Hlk167778023"/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282AA06F" w14:textId="77777777" w:rsidR="00453581" w:rsidRPr="00D13371" w:rsidRDefault="00453581" w:rsidP="00453581">
      <w:pPr>
        <w:pStyle w:val="NoSpacing"/>
        <w:rPr>
          <w:rFonts w:asciiTheme="majorHAnsi" w:hAnsiTheme="majorHAnsi"/>
          <w:sz w:val="24"/>
          <w:szCs w:val="24"/>
        </w:rPr>
      </w:pPr>
      <w:r w:rsidRPr="00D13371">
        <w:rPr>
          <w:rFonts w:asciiTheme="majorHAnsi" w:hAnsiTheme="majorHAnsi"/>
          <w:sz w:val="24"/>
          <w:szCs w:val="24"/>
        </w:rPr>
        <w:t>Members are asked to consider the attached report sent separately.</w:t>
      </w:r>
    </w:p>
    <w:p w14:paraId="065991FA" w14:textId="77777777" w:rsidR="00453581" w:rsidRPr="00D13371" w:rsidRDefault="00453581" w:rsidP="00453581">
      <w:pPr>
        <w:pStyle w:val="NoSpacing"/>
        <w:rPr>
          <w:rFonts w:asciiTheme="majorHAnsi" w:hAnsiTheme="majorHAnsi"/>
          <w:sz w:val="24"/>
          <w:szCs w:val="24"/>
        </w:rPr>
      </w:pPr>
    </w:p>
    <w:p w14:paraId="3541DA85" w14:textId="1AB0824D" w:rsidR="00453581" w:rsidRPr="00D13371" w:rsidRDefault="00453581" w:rsidP="00453581">
      <w:pPr>
        <w:pStyle w:val="NoSpacing"/>
        <w:tabs>
          <w:tab w:val="left" w:pos="7428"/>
        </w:tabs>
        <w:rPr>
          <w:rFonts w:asciiTheme="majorHAnsi" w:hAnsiTheme="majorHAnsi"/>
          <w:b/>
          <w:bCs/>
          <w:sz w:val="24"/>
          <w:szCs w:val="24"/>
        </w:rPr>
      </w:pPr>
      <w:r w:rsidRPr="00D13371">
        <w:rPr>
          <w:rFonts w:asciiTheme="majorHAnsi" w:hAnsiTheme="majorHAnsi"/>
          <w:b/>
          <w:bCs/>
          <w:sz w:val="24"/>
          <w:szCs w:val="24"/>
        </w:rPr>
        <w:t xml:space="preserve">06. </w:t>
      </w:r>
      <w:bookmarkEnd w:id="0"/>
      <w:r>
        <w:rPr>
          <w:rFonts w:asciiTheme="majorHAnsi" w:hAnsiTheme="majorHAnsi"/>
          <w:b/>
          <w:bCs/>
          <w:sz w:val="24"/>
          <w:szCs w:val="24"/>
        </w:rPr>
        <w:t>Review and adoption of all policies, procedures and practices in respect of its obligations under freedom of information and data protection legislation (standing orders 11, 20 &amp;21) a</w:t>
      </w:r>
      <w:r w:rsidRPr="00D13371">
        <w:rPr>
          <w:rFonts w:asciiTheme="majorHAnsi" w:hAnsiTheme="majorHAnsi"/>
          <w:b/>
          <w:bCs/>
          <w:sz w:val="24"/>
          <w:szCs w:val="24"/>
        </w:rPr>
        <w:t>s follows</w:t>
      </w:r>
      <w:r>
        <w:rPr>
          <w:rFonts w:asciiTheme="majorHAnsi" w:hAnsiTheme="majorHAnsi"/>
          <w:b/>
          <w:bCs/>
          <w:sz w:val="24"/>
          <w:szCs w:val="24"/>
        </w:rPr>
        <w:t>:</w:t>
      </w:r>
    </w:p>
    <w:p w14:paraId="3A68EAB9" w14:textId="77777777" w:rsidR="00453581" w:rsidRDefault="00453581" w:rsidP="00453581">
      <w:pPr>
        <w:pStyle w:val="NoSpacing"/>
        <w:rPr>
          <w:lang w:eastAsia="en-GB"/>
        </w:rPr>
      </w:pPr>
      <w:r w:rsidRPr="00A00958">
        <w:rPr>
          <w:lang w:eastAsia="en-GB"/>
        </w:rPr>
        <w:t> </w:t>
      </w:r>
      <w:r>
        <w:rPr>
          <w:lang w:eastAsia="en-GB"/>
        </w:rPr>
        <w:t>1.    Standing Orders</w:t>
      </w:r>
    </w:p>
    <w:p w14:paraId="66017CD8" w14:textId="77777777" w:rsidR="00453581" w:rsidRDefault="00453581" w:rsidP="00453581">
      <w:pPr>
        <w:pStyle w:val="NoSpacing"/>
        <w:rPr>
          <w:lang w:eastAsia="en-GB"/>
        </w:rPr>
      </w:pPr>
      <w:r>
        <w:rPr>
          <w:lang w:eastAsia="en-GB"/>
        </w:rPr>
        <w:t>2.     Financial regulations</w:t>
      </w:r>
    </w:p>
    <w:p w14:paraId="621F48CD" w14:textId="77777777" w:rsidR="00453581" w:rsidRDefault="00453581" w:rsidP="00453581">
      <w:pPr>
        <w:pStyle w:val="NoSpacing"/>
        <w:rPr>
          <w:lang w:eastAsia="en-GB"/>
        </w:rPr>
      </w:pPr>
      <w:r>
        <w:rPr>
          <w:lang w:eastAsia="en-GB"/>
        </w:rPr>
        <w:t xml:space="preserve">3.     </w:t>
      </w:r>
      <w:r w:rsidRPr="00A00958">
        <w:rPr>
          <w:lang w:eastAsia="en-GB"/>
        </w:rPr>
        <w:t>Code of Conduct</w:t>
      </w:r>
    </w:p>
    <w:p w14:paraId="6538D49C" w14:textId="77777777" w:rsidR="00453581" w:rsidRPr="00A00958" w:rsidRDefault="00453581" w:rsidP="00453581">
      <w:pPr>
        <w:pStyle w:val="NoSpacing"/>
        <w:rPr>
          <w:lang w:eastAsia="en-GB"/>
        </w:rPr>
      </w:pPr>
      <w:r>
        <w:rPr>
          <w:lang w:eastAsia="en-GB"/>
        </w:rPr>
        <w:t>4.     Asset Register – approved April 2025 M6</w:t>
      </w:r>
    </w:p>
    <w:p w14:paraId="50415357" w14:textId="77777777" w:rsidR="00453581" w:rsidRDefault="00453581" w:rsidP="00453581">
      <w:pPr>
        <w:pStyle w:val="NoSpacing"/>
        <w:rPr>
          <w:lang w:eastAsia="en-GB"/>
        </w:rPr>
      </w:pPr>
      <w:r w:rsidRPr="00A00958">
        <w:rPr>
          <w:lang w:eastAsia="en-GB"/>
        </w:rPr>
        <w:t xml:space="preserve">5. </w:t>
      </w:r>
      <w:r>
        <w:rPr>
          <w:lang w:eastAsia="en-GB"/>
        </w:rPr>
        <w:t xml:space="preserve">    </w:t>
      </w:r>
      <w:r w:rsidRPr="00A00958">
        <w:rPr>
          <w:lang w:eastAsia="en-GB"/>
        </w:rPr>
        <w:t>Risk Management Policy</w:t>
      </w:r>
    </w:p>
    <w:p w14:paraId="7527154E" w14:textId="77777777" w:rsidR="00453581" w:rsidRPr="00A00958" w:rsidRDefault="00453581" w:rsidP="00453581">
      <w:pPr>
        <w:pStyle w:val="NoSpacing"/>
        <w:rPr>
          <w:lang w:eastAsia="en-GB"/>
        </w:rPr>
      </w:pPr>
      <w:r w:rsidRPr="00A00958">
        <w:rPr>
          <w:lang w:eastAsia="en-GB"/>
        </w:rPr>
        <w:t>6.     Complaints Procedure</w:t>
      </w:r>
    </w:p>
    <w:p w14:paraId="77695655" w14:textId="77777777" w:rsidR="00453581" w:rsidRPr="00A00958" w:rsidRDefault="00453581" w:rsidP="00453581">
      <w:pPr>
        <w:pStyle w:val="NoSpacing"/>
        <w:rPr>
          <w:lang w:eastAsia="en-GB"/>
        </w:rPr>
      </w:pPr>
      <w:r w:rsidRPr="00A00958">
        <w:rPr>
          <w:lang w:eastAsia="en-GB"/>
        </w:rPr>
        <w:t>7.     Equality and Diversity Policy</w:t>
      </w:r>
    </w:p>
    <w:p w14:paraId="1F21E49B" w14:textId="77777777" w:rsidR="00453581" w:rsidRPr="00A00958" w:rsidRDefault="00453581" w:rsidP="00453581">
      <w:pPr>
        <w:pStyle w:val="NoSpacing"/>
        <w:rPr>
          <w:lang w:eastAsia="en-GB"/>
        </w:rPr>
      </w:pPr>
      <w:r w:rsidRPr="00A00958">
        <w:rPr>
          <w:lang w:eastAsia="en-GB"/>
        </w:rPr>
        <w:t>8.     Lone Working Policy</w:t>
      </w:r>
    </w:p>
    <w:p w14:paraId="724BCD2C" w14:textId="77777777" w:rsidR="00453581" w:rsidRPr="00A00958" w:rsidRDefault="00453581" w:rsidP="00453581">
      <w:pPr>
        <w:pStyle w:val="NoSpacing"/>
        <w:rPr>
          <w:lang w:eastAsia="en-GB"/>
        </w:rPr>
      </w:pPr>
      <w:r w:rsidRPr="00A00958">
        <w:rPr>
          <w:lang w:eastAsia="en-GB"/>
        </w:rPr>
        <w:t>9.     Grant Awarding Policy</w:t>
      </w:r>
    </w:p>
    <w:p w14:paraId="610AFA08" w14:textId="77777777" w:rsidR="00453581" w:rsidRPr="00A00958" w:rsidRDefault="00453581" w:rsidP="00453581">
      <w:pPr>
        <w:pStyle w:val="NoSpacing"/>
        <w:rPr>
          <w:lang w:eastAsia="en-GB"/>
        </w:rPr>
      </w:pPr>
      <w:r w:rsidRPr="00A00958">
        <w:rPr>
          <w:lang w:eastAsia="en-GB"/>
        </w:rPr>
        <w:t>10.   Grant Application Form</w:t>
      </w:r>
    </w:p>
    <w:p w14:paraId="7D26F838" w14:textId="77777777" w:rsidR="00453581" w:rsidRPr="00A00958" w:rsidRDefault="00453581" w:rsidP="00453581">
      <w:pPr>
        <w:pStyle w:val="NoSpacing"/>
        <w:rPr>
          <w:lang w:eastAsia="en-GB"/>
        </w:rPr>
      </w:pPr>
      <w:r w:rsidRPr="00A00958">
        <w:rPr>
          <w:lang w:eastAsia="en-GB"/>
        </w:rPr>
        <w:t>11.    Data Protection Policy</w:t>
      </w:r>
    </w:p>
    <w:p w14:paraId="5B0D6B16" w14:textId="77777777" w:rsidR="00453581" w:rsidRPr="00A00958" w:rsidRDefault="00453581" w:rsidP="00453581">
      <w:pPr>
        <w:pStyle w:val="NoSpacing"/>
        <w:rPr>
          <w:lang w:eastAsia="en-GB"/>
        </w:rPr>
      </w:pPr>
      <w:r w:rsidRPr="00A00958">
        <w:rPr>
          <w:lang w:eastAsia="en-GB"/>
        </w:rPr>
        <w:t>12.    Press and Social Media Policy</w:t>
      </w:r>
    </w:p>
    <w:p w14:paraId="2CD216D1" w14:textId="77777777" w:rsidR="00453581" w:rsidRPr="00A00958" w:rsidRDefault="00453581" w:rsidP="00453581">
      <w:pPr>
        <w:pStyle w:val="NoSpacing"/>
        <w:rPr>
          <w:lang w:eastAsia="en-GB"/>
        </w:rPr>
      </w:pPr>
      <w:r w:rsidRPr="00A00958">
        <w:rPr>
          <w:lang w:eastAsia="en-GB"/>
        </w:rPr>
        <w:t>13.    Vexatious Complaints Procedure</w:t>
      </w:r>
    </w:p>
    <w:p w14:paraId="12C21204" w14:textId="77777777" w:rsidR="00453581" w:rsidRPr="00A00958" w:rsidRDefault="00453581" w:rsidP="00453581">
      <w:pPr>
        <w:pStyle w:val="NoSpacing"/>
        <w:rPr>
          <w:lang w:eastAsia="en-GB"/>
        </w:rPr>
      </w:pPr>
      <w:r w:rsidRPr="00A00958">
        <w:rPr>
          <w:lang w:eastAsia="en-GB"/>
        </w:rPr>
        <w:t>14.    Anti-harassment and bullying Policy</w:t>
      </w:r>
    </w:p>
    <w:p w14:paraId="3A39DEDF" w14:textId="77777777" w:rsidR="00453581" w:rsidRPr="00A00958" w:rsidRDefault="00453581" w:rsidP="00453581">
      <w:pPr>
        <w:pStyle w:val="NoSpacing"/>
        <w:rPr>
          <w:lang w:eastAsia="en-GB"/>
        </w:rPr>
      </w:pPr>
      <w:r w:rsidRPr="00A00958">
        <w:rPr>
          <w:lang w:eastAsia="en-GB"/>
        </w:rPr>
        <w:t>15.    Health and Safety Policy</w:t>
      </w:r>
    </w:p>
    <w:p w14:paraId="5927EC6C" w14:textId="77777777" w:rsidR="00453581" w:rsidRPr="00A00958" w:rsidRDefault="00453581" w:rsidP="00453581">
      <w:pPr>
        <w:pStyle w:val="NoSpacing"/>
        <w:rPr>
          <w:lang w:eastAsia="en-GB"/>
        </w:rPr>
      </w:pPr>
      <w:r w:rsidRPr="00A00958">
        <w:rPr>
          <w:lang w:eastAsia="en-GB"/>
        </w:rPr>
        <w:t>16.    Staffing Committee – Terms of Reference</w:t>
      </w:r>
    </w:p>
    <w:p w14:paraId="6BA5DC26" w14:textId="77777777" w:rsidR="00453581" w:rsidRPr="00A00958" w:rsidRDefault="00453581" w:rsidP="00453581">
      <w:pPr>
        <w:pStyle w:val="NoSpacing"/>
        <w:rPr>
          <w:lang w:eastAsia="en-GB"/>
        </w:rPr>
      </w:pPr>
      <w:r w:rsidRPr="00A00958">
        <w:rPr>
          <w:lang w:eastAsia="en-GB"/>
        </w:rPr>
        <w:t>17.    Allotment tenancy Agreement</w:t>
      </w:r>
    </w:p>
    <w:p w14:paraId="54FB93BE" w14:textId="77777777" w:rsidR="00453581" w:rsidRPr="00A00958" w:rsidRDefault="00453581" w:rsidP="00453581">
      <w:pPr>
        <w:pStyle w:val="NoSpacing"/>
        <w:rPr>
          <w:lang w:eastAsia="en-GB"/>
        </w:rPr>
      </w:pPr>
      <w:r w:rsidRPr="00A00958">
        <w:rPr>
          <w:lang w:eastAsia="en-GB"/>
        </w:rPr>
        <w:t>18.    Training and Development Policy</w:t>
      </w:r>
    </w:p>
    <w:p w14:paraId="525FB644" w14:textId="77777777" w:rsidR="00453581" w:rsidRPr="00A00958" w:rsidRDefault="00453581" w:rsidP="00453581">
      <w:pPr>
        <w:pStyle w:val="NoSpacing"/>
        <w:rPr>
          <w:lang w:eastAsia="en-GB"/>
        </w:rPr>
      </w:pPr>
      <w:r w:rsidRPr="00A00958">
        <w:rPr>
          <w:lang w:eastAsia="en-GB"/>
        </w:rPr>
        <w:t>19.     CCTV Policy</w:t>
      </w:r>
    </w:p>
    <w:p w14:paraId="3CE02B2A" w14:textId="77777777" w:rsidR="00453581" w:rsidRPr="00A00958" w:rsidRDefault="00453581" w:rsidP="00453581">
      <w:pPr>
        <w:pStyle w:val="NoSpacing"/>
        <w:rPr>
          <w:lang w:eastAsia="en-GB"/>
        </w:rPr>
      </w:pPr>
      <w:r w:rsidRPr="00A00958">
        <w:rPr>
          <w:lang w:eastAsia="en-GB"/>
        </w:rPr>
        <w:t>20.     Local Government Pension Scheme Guidance</w:t>
      </w:r>
    </w:p>
    <w:p w14:paraId="7EE4C9A3" w14:textId="77777777" w:rsidR="00453581" w:rsidRPr="00A00958" w:rsidRDefault="00453581" w:rsidP="00453581">
      <w:pPr>
        <w:pStyle w:val="NoSpacing"/>
        <w:rPr>
          <w:lang w:eastAsia="en-GB"/>
        </w:rPr>
      </w:pPr>
      <w:r w:rsidRPr="00A00958">
        <w:rPr>
          <w:lang w:eastAsia="en-GB"/>
        </w:rPr>
        <w:t>21.     Under-Age sales Statement Lottery License</w:t>
      </w:r>
    </w:p>
    <w:p w14:paraId="083A956A" w14:textId="2538D970" w:rsidR="00453581" w:rsidRDefault="00453581" w:rsidP="00200314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A00958">
        <w:rPr>
          <w:lang w:eastAsia="en-GB"/>
        </w:rPr>
        <w:t>22.     Whistleblowing Policy</w:t>
      </w:r>
    </w:p>
    <w:p w14:paraId="4D4AF337" w14:textId="3C06E7D4" w:rsidR="00191478" w:rsidRDefault="00200314" w:rsidP="00F64ED2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It was </w:t>
      </w:r>
      <w:r w:rsidR="004F1A22">
        <w:rPr>
          <w:rFonts w:asciiTheme="majorHAnsi" w:hAnsiTheme="majorHAnsi"/>
          <w:b/>
          <w:sz w:val="24"/>
          <w:szCs w:val="24"/>
        </w:rPr>
        <w:t>RESOLV</w:t>
      </w:r>
      <w:r w:rsidRPr="004F1A22">
        <w:rPr>
          <w:rFonts w:asciiTheme="majorHAnsi" w:hAnsiTheme="majorHAnsi"/>
          <w:b/>
          <w:sz w:val="24"/>
          <w:szCs w:val="24"/>
        </w:rPr>
        <w:t xml:space="preserve">ED </w:t>
      </w:r>
      <w:r w:rsidR="00330B90" w:rsidRPr="004F1A22">
        <w:rPr>
          <w:rFonts w:asciiTheme="majorHAnsi" w:hAnsiTheme="majorHAnsi"/>
          <w:b/>
          <w:sz w:val="24"/>
          <w:szCs w:val="24"/>
        </w:rPr>
        <w:t>to A</w:t>
      </w:r>
      <w:r w:rsidR="00520E00" w:rsidRPr="004F1A22">
        <w:rPr>
          <w:rFonts w:asciiTheme="majorHAnsi" w:hAnsiTheme="majorHAnsi"/>
          <w:b/>
          <w:sz w:val="24"/>
          <w:szCs w:val="24"/>
        </w:rPr>
        <w:t>DOPT</w:t>
      </w:r>
      <w:r w:rsidR="00520E00">
        <w:rPr>
          <w:rFonts w:asciiTheme="majorHAnsi" w:hAnsiTheme="majorHAnsi"/>
          <w:bCs/>
          <w:sz w:val="24"/>
          <w:szCs w:val="24"/>
        </w:rPr>
        <w:t xml:space="preserve"> these </w:t>
      </w:r>
      <w:r w:rsidR="00B74530">
        <w:rPr>
          <w:rFonts w:asciiTheme="majorHAnsi" w:hAnsiTheme="majorHAnsi"/>
          <w:bCs/>
          <w:sz w:val="24"/>
          <w:szCs w:val="24"/>
        </w:rPr>
        <w:t>policies and procedures</w:t>
      </w:r>
      <w:r w:rsidR="008F779E">
        <w:rPr>
          <w:rFonts w:asciiTheme="majorHAnsi" w:hAnsiTheme="majorHAnsi"/>
          <w:bCs/>
          <w:sz w:val="24"/>
          <w:szCs w:val="24"/>
        </w:rPr>
        <w:t xml:space="preserve"> for 2025-26</w:t>
      </w:r>
      <w:r w:rsidR="00B74530">
        <w:rPr>
          <w:rFonts w:asciiTheme="majorHAnsi" w:hAnsiTheme="majorHAnsi"/>
          <w:bCs/>
          <w:sz w:val="24"/>
          <w:szCs w:val="24"/>
        </w:rPr>
        <w:t>.</w:t>
      </w:r>
    </w:p>
    <w:p w14:paraId="4A82C718" w14:textId="77777777" w:rsidR="00453581" w:rsidRPr="00D13371" w:rsidRDefault="00453581" w:rsidP="00453581">
      <w:pPr>
        <w:pStyle w:val="NoSpacing"/>
        <w:tabs>
          <w:tab w:val="left" w:pos="7428"/>
        </w:tabs>
        <w:ind w:left="720"/>
        <w:rPr>
          <w:rFonts w:asciiTheme="majorHAnsi" w:hAnsiTheme="majorHAnsi"/>
          <w:bCs/>
          <w:sz w:val="24"/>
          <w:szCs w:val="24"/>
        </w:rPr>
      </w:pPr>
    </w:p>
    <w:p w14:paraId="161CB76B" w14:textId="0D3FB453" w:rsidR="00453581" w:rsidRDefault="00453581" w:rsidP="00B43BD2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 w:rsidRPr="00D13371">
        <w:rPr>
          <w:rFonts w:asciiTheme="majorHAnsi" w:hAnsiTheme="majorHAnsi"/>
          <w:b/>
          <w:sz w:val="24"/>
          <w:szCs w:val="24"/>
        </w:rPr>
        <w:t xml:space="preserve">07. </w:t>
      </w:r>
      <w:r>
        <w:rPr>
          <w:rFonts w:asciiTheme="majorHAnsi" w:hAnsiTheme="majorHAnsi"/>
          <w:b/>
          <w:sz w:val="24"/>
          <w:szCs w:val="24"/>
        </w:rPr>
        <w:t xml:space="preserve">Members are requested to review the </w:t>
      </w:r>
      <w:r w:rsidR="004D2F65">
        <w:rPr>
          <w:rFonts w:asciiTheme="majorHAnsi" w:hAnsiTheme="majorHAnsi"/>
          <w:b/>
          <w:sz w:val="24"/>
          <w:szCs w:val="24"/>
        </w:rPr>
        <w:t>council’s</w:t>
      </w:r>
      <w:r>
        <w:rPr>
          <w:rFonts w:asciiTheme="majorHAnsi" w:hAnsiTheme="majorHAnsi"/>
          <w:b/>
          <w:sz w:val="24"/>
          <w:szCs w:val="24"/>
        </w:rPr>
        <w:t xml:space="preserve"> expenditure and approve</w:t>
      </w:r>
      <w:r w:rsidRPr="00D13371">
        <w:rPr>
          <w:rFonts w:asciiTheme="majorHAnsi" w:hAnsiTheme="majorHAnsi"/>
          <w:b/>
          <w:sz w:val="24"/>
          <w:szCs w:val="24"/>
        </w:rPr>
        <w:t xml:space="preserve"> End of Year Accounts 2024-25</w:t>
      </w:r>
      <w:r>
        <w:rPr>
          <w:rFonts w:asciiTheme="majorHAnsi" w:hAnsiTheme="majorHAnsi"/>
          <w:b/>
          <w:sz w:val="24"/>
          <w:szCs w:val="24"/>
        </w:rPr>
        <w:t xml:space="preserve"> (</w:t>
      </w:r>
      <w:r w:rsidRPr="00BB5771">
        <w:rPr>
          <w:rFonts w:asciiTheme="majorHAnsi" w:hAnsiTheme="majorHAnsi"/>
          <w:bCs/>
          <w:sz w:val="24"/>
          <w:szCs w:val="24"/>
        </w:rPr>
        <w:t>emaile</w:t>
      </w:r>
      <w:r>
        <w:rPr>
          <w:rFonts w:asciiTheme="majorHAnsi" w:hAnsiTheme="majorHAnsi"/>
          <w:bCs/>
          <w:sz w:val="24"/>
          <w:szCs w:val="24"/>
        </w:rPr>
        <w:t xml:space="preserve">d 23/4/25 prior to publishing on website) </w:t>
      </w:r>
    </w:p>
    <w:p w14:paraId="01E91BFB" w14:textId="7B7241AC" w:rsidR="00B43BD2" w:rsidRDefault="00B43BD2" w:rsidP="00B43BD2">
      <w:pPr>
        <w:pStyle w:val="NoSpacing"/>
        <w:tabs>
          <w:tab w:val="left" w:pos="7428"/>
        </w:tabs>
        <w:rPr>
          <w:rFonts w:asciiTheme="majorHAnsi" w:hAnsiTheme="majorHAnsi" w:cs="Segoe UI Historic"/>
          <w:color w:val="FF0000"/>
          <w:sz w:val="28"/>
          <w:szCs w:val="28"/>
          <w:shd w:val="clear" w:color="auto" w:fill="F0F2F5"/>
        </w:rPr>
      </w:pPr>
      <w:r>
        <w:rPr>
          <w:rFonts w:asciiTheme="majorHAnsi" w:hAnsiTheme="majorHAnsi"/>
          <w:bCs/>
          <w:sz w:val="24"/>
          <w:szCs w:val="24"/>
        </w:rPr>
        <w:t xml:space="preserve">It was </w:t>
      </w:r>
      <w:r w:rsidRPr="006710C8">
        <w:rPr>
          <w:rFonts w:asciiTheme="majorHAnsi" w:hAnsiTheme="majorHAnsi"/>
          <w:b/>
          <w:sz w:val="24"/>
          <w:szCs w:val="24"/>
        </w:rPr>
        <w:t>RESOLVED to ACCEPT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8F779E">
        <w:rPr>
          <w:rFonts w:asciiTheme="majorHAnsi" w:hAnsiTheme="majorHAnsi"/>
          <w:bCs/>
          <w:sz w:val="24"/>
          <w:szCs w:val="24"/>
        </w:rPr>
        <w:t>these figures as accurate.</w:t>
      </w:r>
    </w:p>
    <w:p w14:paraId="66B53339" w14:textId="77777777" w:rsidR="00453581" w:rsidRPr="00D13371" w:rsidRDefault="00453581" w:rsidP="00453581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</w:p>
    <w:p w14:paraId="507B0A1E" w14:textId="031B20B1" w:rsidR="00453581" w:rsidRDefault="00453581" w:rsidP="00453581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  <w:r w:rsidRPr="00D13371">
        <w:rPr>
          <w:rFonts w:asciiTheme="majorHAnsi" w:hAnsiTheme="majorHAnsi"/>
          <w:b/>
          <w:sz w:val="24"/>
          <w:szCs w:val="24"/>
        </w:rPr>
        <w:t xml:space="preserve">08. </w:t>
      </w:r>
      <w:r>
        <w:rPr>
          <w:rFonts w:asciiTheme="majorHAnsi" w:hAnsiTheme="majorHAnsi"/>
          <w:b/>
          <w:sz w:val="24"/>
          <w:szCs w:val="24"/>
        </w:rPr>
        <w:t>Members are requested to approve</w:t>
      </w:r>
      <w:r w:rsidRPr="00D13371">
        <w:rPr>
          <w:rFonts w:asciiTheme="majorHAnsi" w:hAnsiTheme="majorHAnsi"/>
          <w:b/>
          <w:sz w:val="24"/>
          <w:szCs w:val="24"/>
        </w:rPr>
        <w:t xml:space="preserve"> Internal Accounting Monitoring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14:paraId="1B3FF6C5" w14:textId="7333A58C" w:rsidR="00453581" w:rsidRPr="00802819" w:rsidRDefault="00453581" w:rsidP="00453581">
      <w:pPr>
        <w:pStyle w:val="NoSpacing"/>
        <w:tabs>
          <w:tab w:val="left" w:pos="7428"/>
        </w:tabs>
        <w:rPr>
          <w:rFonts w:asciiTheme="majorHAnsi" w:hAnsiTheme="majorHAnsi"/>
          <w:bCs/>
          <w:color w:val="FF0000"/>
          <w:sz w:val="24"/>
          <w:szCs w:val="24"/>
        </w:rPr>
      </w:pPr>
      <w:r w:rsidRPr="004E3EDD">
        <w:rPr>
          <w:rFonts w:asciiTheme="majorHAnsi" w:hAnsiTheme="majorHAnsi"/>
          <w:bCs/>
          <w:sz w:val="24"/>
          <w:szCs w:val="24"/>
        </w:rPr>
        <w:t>Including any changes to bank accounts</w:t>
      </w:r>
      <w:r>
        <w:rPr>
          <w:rFonts w:asciiTheme="majorHAnsi" w:hAnsiTheme="majorHAnsi"/>
          <w:bCs/>
          <w:sz w:val="24"/>
          <w:szCs w:val="24"/>
        </w:rPr>
        <w:t>, mandates</w:t>
      </w:r>
      <w:r w:rsidRPr="004E3EDD">
        <w:rPr>
          <w:rFonts w:asciiTheme="majorHAnsi" w:hAnsiTheme="majorHAnsi"/>
          <w:bCs/>
          <w:sz w:val="24"/>
          <w:szCs w:val="24"/>
        </w:rPr>
        <w:t xml:space="preserve"> and signatories</w:t>
      </w:r>
      <w:r>
        <w:rPr>
          <w:rFonts w:asciiTheme="majorHAnsi" w:hAnsiTheme="majorHAnsi"/>
          <w:bCs/>
          <w:sz w:val="24"/>
          <w:szCs w:val="24"/>
        </w:rPr>
        <w:t>. Authorisation of internal auditor.</w:t>
      </w:r>
      <w:r w:rsidR="00802819">
        <w:rPr>
          <w:rFonts w:asciiTheme="majorHAnsi" w:hAnsiTheme="majorHAnsi"/>
          <w:bCs/>
          <w:sz w:val="24"/>
          <w:szCs w:val="24"/>
        </w:rPr>
        <w:t xml:space="preserve"> </w:t>
      </w:r>
      <w:r w:rsidR="006710C8">
        <w:rPr>
          <w:rFonts w:asciiTheme="majorHAnsi" w:hAnsiTheme="majorHAnsi"/>
          <w:bCs/>
          <w:sz w:val="24"/>
          <w:szCs w:val="24"/>
        </w:rPr>
        <w:t xml:space="preserve">It was </w:t>
      </w:r>
      <w:r w:rsidR="006710C8" w:rsidRPr="006710C8">
        <w:rPr>
          <w:rFonts w:asciiTheme="majorHAnsi" w:hAnsiTheme="majorHAnsi"/>
          <w:b/>
          <w:sz w:val="24"/>
          <w:szCs w:val="24"/>
        </w:rPr>
        <w:t xml:space="preserve">RESOLVED to </w:t>
      </w:r>
      <w:proofErr w:type="gramStart"/>
      <w:r w:rsidR="006710C8" w:rsidRPr="006710C8">
        <w:rPr>
          <w:rFonts w:asciiTheme="majorHAnsi" w:hAnsiTheme="majorHAnsi"/>
          <w:b/>
          <w:sz w:val="24"/>
          <w:szCs w:val="24"/>
        </w:rPr>
        <w:t>ACCEPT</w:t>
      </w:r>
      <w:r w:rsidR="006710C8">
        <w:rPr>
          <w:rFonts w:asciiTheme="majorHAnsi" w:hAnsiTheme="majorHAnsi"/>
          <w:bCs/>
          <w:sz w:val="24"/>
          <w:szCs w:val="24"/>
        </w:rPr>
        <w:t xml:space="preserve"> </w:t>
      </w:r>
      <w:r w:rsidR="00091319">
        <w:rPr>
          <w:rFonts w:asciiTheme="majorHAnsi" w:hAnsiTheme="majorHAnsi"/>
          <w:bCs/>
          <w:sz w:val="24"/>
          <w:szCs w:val="24"/>
        </w:rPr>
        <w:t xml:space="preserve"> these</w:t>
      </w:r>
      <w:proofErr w:type="gramEnd"/>
      <w:r w:rsidR="00091319">
        <w:rPr>
          <w:rFonts w:asciiTheme="majorHAnsi" w:hAnsiTheme="majorHAnsi"/>
          <w:bCs/>
          <w:sz w:val="24"/>
          <w:szCs w:val="24"/>
        </w:rPr>
        <w:t xml:space="preserve"> procedures and continue with the same banking and auditing arrangements.</w:t>
      </w:r>
    </w:p>
    <w:p w14:paraId="7FEA9D2F" w14:textId="77777777" w:rsidR="00453581" w:rsidRPr="00802819" w:rsidRDefault="00453581" w:rsidP="00453581">
      <w:pPr>
        <w:pStyle w:val="NoSpacing"/>
        <w:tabs>
          <w:tab w:val="left" w:pos="7428"/>
        </w:tabs>
        <w:rPr>
          <w:rFonts w:asciiTheme="majorHAnsi" w:hAnsiTheme="majorHAnsi"/>
          <w:bCs/>
          <w:color w:val="FF0000"/>
          <w:sz w:val="24"/>
          <w:szCs w:val="24"/>
        </w:rPr>
      </w:pPr>
    </w:p>
    <w:p w14:paraId="669D0810" w14:textId="2A4F913C" w:rsidR="00453581" w:rsidRDefault="00453581" w:rsidP="00453581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  <w:r w:rsidRPr="00220F71">
        <w:rPr>
          <w:rFonts w:asciiTheme="majorHAnsi" w:hAnsiTheme="majorHAnsi"/>
          <w:b/>
          <w:sz w:val="24"/>
          <w:szCs w:val="24"/>
        </w:rPr>
        <w:t>09. Members are requested to vote on which insurance provider to use.</w:t>
      </w:r>
    </w:p>
    <w:p w14:paraId="314B2E8C" w14:textId="77777777" w:rsidR="00453581" w:rsidRPr="007E0919" w:rsidRDefault="00453581" w:rsidP="00453581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 w:rsidRPr="007E0919">
        <w:rPr>
          <w:rFonts w:asciiTheme="majorHAnsi" w:hAnsiTheme="majorHAnsi"/>
          <w:bCs/>
          <w:sz w:val="24"/>
          <w:szCs w:val="24"/>
        </w:rPr>
        <w:t>Hiscox (Gallaghers) previous provider £1,490.73 p/a</w:t>
      </w:r>
    </w:p>
    <w:p w14:paraId="2C457771" w14:textId="77777777" w:rsidR="00453581" w:rsidRDefault="00453581" w:rsidP="00453581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 w:rsidRPr="007E0919">
        <w:rPr>
          <w:rFonts w:asciiTheme="majorHAnsi" w:hAnsiTheme="majorHAnsi"/>
          <w:bCs/>
          <w:sz w:val="24"/>
          <w:szCs w:val="24"/>
        </w:rPr>
        <w:t>Ansvar ((Charity &amp; Community) new quote £1,883.73</w:t>
      </w:r>
      <w:r>
        <w:rPr>
          <w:rFonts w:asciiTheme="majorHAnsi" w:hAnsiTheme="majorHAnsi"/>
          <w:bCs/>
          <w:sz w:val="24"/>
          <w:szCs w:val="24"/>
        </w:rPr>
        <w:t xml:space="preserve"> p/a</w:t>
      </w:r>
    </w:p>
    <w:p w14:paraId="000407F1" w14:textId="24B502E0" w:rsidR="00453581" w:rsidRDefault="00453581" w:rsidP="00453581">
      <w:pPr>
        <w:pStyle w:val="NoSpacing"/>
        <w:tabs>
          <w:tab w:val="left" w:pos="7428"/>
        </w:tabs>
        <w:rPr>
          <w:rFonts w:asciiTheme="majorHAnsi" w:hAnsiTheme="majorHAnsi"/>
          <w:bCs/>
          <w:color w:val="FF0000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Third quote sought from Clear Councils £</w:t>
      </w:r>
      <w:r w:rsidR="008E6D2C">
        <w:rPr>
          <w:rFonts w:asciiTheme="majorHAnsi" w:hAnsiTheme="majorHAnsi"/>
          <w:bCs/>
          <w:sz w:val="24"/>
          <w:szCs w:val="24"/>
        </w:rPr>
        <w:t xml:space="preserve"> </w:t>
      </w:r>
      <w:r w:rsidR="008E6D2C" w:rsidRPr="00091319">
        <w:rPr>
          <w:rFonts w:asciiTheme="majorHAnsi" w:hAnsiTheme="majorHAnsi"/>
          <w:bCs/>
          <w:sz w:val="24"/>
          <w:szCs w:val="24"/>
        </w:rPr>
        <w:t>not received in time</w:t>
      </w:r>
      <w:r w:rsidR="006D358A" w:rsidRPr="00091319">
        <w:rPr>
          <w:rFonts w:asciiTheme="majorHAnsi" w:hAnsiTheme="majorHAnsi"/>
          <w:bCs/>
          <w:sz w:val="24"/>
          <w:szCs w:val="24"/>
        </w:rPr>
        <w:t>.</w:t>
      </w:r>
    </w:p>
    <w:p w14:paraId="4F1F3B2A" w14:textId="2C0516DD" w:rsidR="006D358A" w:rsidRPr="00896423" w:rsidRDefault="006D358A" w:rsidP="00453581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 w:rsidRPr="00896423">
        <w:rPr>
          <w:rFonts w:asciiTheme="majorHAnsi" w:hAnsiTheme="majorHAnsi"/>
          <w:bCs/>
          <w:sz w:val="24"/>
          <w:szCs w:val="24"/>
        </w:rPr>
        <w:t xml:space="preserve">It was </w:t>
      </w:r>
      <w:r w:rsidRPr="00896423">
        <w:rPr>
          <w:rFonts w:asciiTheme="majorHAnsi" w:hAnsiTheme="majorHAnsi"/>
          <w:b/>
          <w:sz w:val="24"/>
          <w:szCs w:val="24"/>
        </w:rPr>
        <w:t>RESOLVED to ACCEPT</w:t>
      </w:r>
      <w:r w:rsidRPr="00896423">
        <w:rPr>
          <w:rFonts w:asciiTheme="majorHAnsi" w:hAnsiTheme="majorHAnsi"/>
          <w:bCs/>
          <w:sz w:val="24"/>
          <w:szCs w:val="24"/>
        </w:rPr>
        <w:t xml:space="preserve"> </w:t>
      </w:r>
      <w:r w:rsidR="00896423" w:rsidRPr="00896423">
        <w:rPr>
          <w:rFonts w:asciiTheme="majorHAnsi" w:hAnsiTheme="majorHAnsi"/>
          <w:bCs/>
          <w:sz w:val="24"/>
          <w:szCs w:val="24"/>
        </w:rPr>
        <w:t>to remain with Hiscox</w:t>
      </w:r>
      <w:r w:rsidR="00091319">
        <w:rPr>
          <w:rFonts w:asciiTheme="majorHAnsi" w:hAnsiTheme="majorHAnsi"/>
          <w:bCs/>
          <w:sz w:val="24"/>
          <w:szCs w:val="24"/>
        </w:rPr>
        <w:t xml:space="preserve"> (Gallaghers) insurers for the next two years.</w:t>
      </w:r>
    </w:p>
    <w:p w14:paraId="35B14C84" w14:textId="77777777" w:rsidR="00453581" w:rsidRPr="00896423" w:rsidRDefault="00453581" w:rsidP="00453581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</w:p>
    <w:p w14:paraId="6DD144FC" w14:textId="213498A3" w:rsidR="00453581" w:rsidRDefault="00453581" w:rsidP="00453581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 w:rsidRPr="00784FF1">
        <w:rPr>
          <w:rFonts w:asciiTheme="majorHAnsi" w:hAnsiTheme="majorHAnsi"/>
          <w:b/>
          <w:sz w:val="24"/>
          <w:szCs w:val="24"/>
        </w:rPr>
        <w:t xml:space="preserve">10. Members are asked to approve </w:t>
      </w:r>
      <w:r>
        <w:rPr>
          <w:rFonts w:asciiTheme="majorHAnsi" w:hAnsiTheme="majorHAnsi"/>
          <w:b/>
          <w:sz w:val="24"/>
          <w:szCs w:val="24"/>
        </w:rPr>
        <w:t xml:space="preserve">the </w:t>
      </w:r>
      <w:r w:rsidRPr="00784FF1">
        <w:rPr>
          <w:rFonts w:asciiTheme="majorHAnsi" w:hAnsiTheme="majorHAnsi"/>
          <w:b/>
          <w:sz w:val="24"/>
          <w:szCs w:val="24"/>
        </w:rPr>
        <w:t xml:space="preserve">increase in allotment fee for 2026 </w:t>
      </w:r>
      <w:r>
        <w:rPr>
          <w:rFonts w:asciiTheme="majorHAnsi" w:hAnsiTheme="majorHAnsi"/>
          <w:b/>
          <w:sz w:val="24"/>
          <w:szCs w:val="24"/>
        </w:rPr>
        <w:t>and authorise Cllr Pinches/Hodnett to complete twice-annual inspection recommendations through the Clerk.</w:t>
      </w:r>
      <w:r w:rsidR="002D6742">
        <w:rPr>
          <w:rFonts w:asciiTheme="majorHAnsi" w:hAnsiTheme="majorHAnsi"/>
          <w:b/>
          <w:sz w:val="24"/>
          <w:szCs w:val="24"/>
        </w:rPr>
        <w:t xml:space="preserve"> </w:t>
      </w:r>
      <w:r w:rsidRPr="00EB4347">
        <w:rPr>
          <w:rFonts w:asciiTheme="majorHAnsi" w:hAnsiTheme="majorHAnsi"/>
          <w:bCs/>
          <w:sz w:val="24"/>
          <w:szCs w:val="24"/>
        </w:rPr>
        <w:t xml:space="preserve">to </w:t>
      </w:r>
      <w:r>
        <w:rPr>
          <w:rFonts w:asciiTheme="majorHAnsi" w:hAnsiTheme="majorHAnsi"/>
          <w:bCs/>
          <w:sz w:val="24"/>
          <w:szCs w:val="24"/>
        </w:rPr>
        <w:t>give tenants the required 1</w:t>
      </w:r>
      <w:r w:rsidRPr="00EB4347">
        <w:rPr>
          <w:rFonts w:asciiTheme="majorHAnsi" w:hAnsiTheme="majorHAnsi"/>
          <w:bCs/>
          <w:sz w:val="24"/>
          <w:szCs w:val="24"/>
        </w:rPr>
        <w:t>2 months’ notice</w:t>
      </w:r>
      <w:r>
        <w:rPr>
          <w:rFonts w:asciiTheme="majorHAnsi" w:hAnsiTheme="majorHAnsi"/>
          <w:bCs/>
          <w:sz w:val="24"/>
          <w:szCs w:val="24"/>
        </w:rPr>
        <w:t xml:space="preserve"> period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 xml:space="preserve">(£50 plots x23 to increase by 10% to £55 and £12 plots x8 on the old tenancy agreement to increase to £20) </w:t>
      </w:r>
    </w:p>
    <w:p w14:paraId="37876FA2" w14:textId="09E8D1FD" w:rsidR="001F042F" w:rsidRPr="007E0919" w:rsidRDefault="001F042F" w:rsidP="00453581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It was </w:t>
      </w:r>
      <w:r w:rsidRPr="001F042F">
        <w:rPr>
          <w:rFonts w:asciiTheme="majorHAnsi" w:hAnsiTheme="majorHAnsi"/>
          <w:b/>
          <w:sz w:val="24"/>
          <w:szCs w:val="24"/>
        </w:rPr>
        <w:t>RESOLVED to ACCEPT</w:t>
      </w:r>
      <w:r>
        <w:rPr>
          <w:rFonts w:asciiTheme="majorHAnsi" w:hAnsiTheme="majorHAnsi"/>
          <w:bCs/>
          <w:sz w:val="24"/>
          <w:szCs w:val="24"/>
        </w:rPr>
        <w:t xml:space="preserve"> to </w:t>
      </w:r>
      <w:r w:rsidR="00DB17EF">
        <w:rPr>
          <w:rFonts w:asciiTheme="majorHAnsi" w:hAnsiTheme="majorHAnsi"/>
          <w:bCs/>
          <w:sz w:val="24"/>
          <w:szCs w:val="24"/>
        </w:rPr>
        <w:t>notify tenants of the increase</w:t>
      </w:r>
      <w:r w:rsidR="00A1308B">
        <w:rPr>
          <w:rFonts w:asciiTheme="majorHAnsi" w:hAnsiTheme="majorHAnsi"/>
          <w:bCs/>
          <w:sz w:val="24"/>
          <w:szCs w:val="24"/>
        </w:rPr>
        <w:t xml:space="preserve"> to be made April 2026.</w:t>
      </w:r>
    </w:p>
    <w:p w14:paraId="105067DE" w14:textId="77777777" w:rsidR="00453581" w:rsidRPr="00D13371" w:rsidRDefault="00453581" w:rsidP="00453581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</w:p>
    <w:p w14:paraId="77AD6DE9" w14:textId="7F11F998" w:rsidR="00453581" w:rsidRDefault="00453581" w:rsidP="00453581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11</w:t>
      </w:r>
      <w:r w:rsidRPr="00D13371">
        <w:rPr>
          <w:rFonts w:asciiTheme="majorHAnsi" w:hAnsiTheme="majorHAnsi"/>
          <w:b/>
          <w:sz w:val="24"/>
          <w:szCs w:val="24"/>
        </w:rPr>
        <w:t xml:space="preserve">. </w:t>
      </w:r>
      <w:r>
        <w:rPr>
          <w:rFonts w:asciiTheme="majorHAnsi" w:hAnsiTheme="majorHAnsi"/>
          <w:b/>
          <w:sz w:val="24"/>
          <w:szCs w:val="24"/>
        </w:rPr>
        <w:t xml:space="preserve">Members are requested to create, abolish and appoint </w:t>
      </w:r>
      <w:r w:rsidRPr="00D13371">
        <w:rPr>
          <w:rFonts w:asciiTheme="majorHAnsi" w:hAnsiTheme="majorHAnsi"/>
          <w:b/>
          <w:sz w:val="24"/>
          <w:szCs w:val="24"/>
        </w:rPr>
        <w:t xml:space="preserve">Committees and </w:t>
      </w:r>
      <w:r>
        <w:rPr>
          <w:rFonts w:asciiTheme="majorHAnsi" w:hAnsiTheme="majorHAnsi"/>
          <w:b/>
          <w:sz w:val="24"/>
          <w:szCs w:val="24"/>
        </w:rPr>
        <w:t>W</w:t>
      </w:r>
      <w:r w:rsidRPr="00D13371">
        <w:rPr>
          <w:rFonts w:asciiTheme="majorHAnsi" w:hAnsiTheme="majorHAnsi"/>
          <w:b/>
          <w:sz w:val="24"/>
          <w:szCs w:val="24"/>
        </w:rPr>
        <w:t xml:space="preserve">orking </w:t>
      </w:r>
      <w:r>
        <w:rPr>
          <w:rFonts w:asciiTheme="majorHAnsi" w:hAnsiTheme="majorHAnsi"/>
          <w:b/>
          <w:sz w:val="24"/>
          <w:szCs w:val="24"/>
        </w:rPr>
        <w:t>G</w:t>
      </w:r>
      <w:r w:rsidRPr="00D13371">
        <w:rPr>
          <w:rFonts w:asciiTheme="majorHAnsi" w:hAnsiTheme="majorHAnsi"/>
          <w:b/>
          <w:sz w:val="24"/>
          <w:szCs w:val="24"/>
        </w:rPr>
        <w:t>roups</w:t>
      </w:r>
      <w:r>
        <w:rPr>
          <w:rFonts w:asciiTheme="majorHAnsi" w:hAnsiTheme="majorHAnsi"/>
          <w:b/>
          <w:sz w:val="24"/>
          <w:szCs w:val="24"/>
        </w:rPr>
        <w:t xml:space="preserve"> and approve Terms of reference issued</w:t>
      </w:r>
      <w:r w:rsidR="00992544">
        <w:rPr>
          <w:rFonts w:asciiTheme="majorHAnsi" w:hAnsiTheme="majorHAnsi"/>
          <w:b/>
          <w:sz w:val="24"/>
          <w:szCs w:val="24"/>
        </w:rPr>
        <w:t>.</w:t>
      </w:r>
    </w:p>
    <w:p w14:paraId="1977D776" w14:textId="39D76FF1" w:rsidR="00992544" w:rsidRPr="008C3455" w:rsidRDefault="00A1308B" w:rsidP="00453581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It was </w:t>
      </w:r>
      <w:r w:rsidRPr="00A1308B">
        <w:rPr>
          <w:rFonts w:asciiTheme="majorHAnsi" w:hAnsiTheme="majorHAnsi"/>
          <w:b/>
          <w:sz w:val="24"/>
          <w:szCs w:val="24"/>
        </w:rPr>
        <w:t>RESOLVED to ACCEPT</w:t>
      </w:r>
      <w:r>
        <w:rPr>
          <w:rFonts w:asciiTheme="majorHAnsi" w:hAnsiTheme="majorHAnsi"/>
          <w:bCs/>
          <w:sz w:val="24"/>
          <w:szCs w:val="24"/>
        </w:rPr>
        <w:t xml:space="preserve"> to </w:t>
      </w:r>
      <w:r w:rsidR="009C0DFF">
        <w:rPr>
          <w:rFonts w:asciiTheme="majorHAnsi" w:hAnsiTheme="majorHAnsi"/>
          <w:bCs/>
          <w:sz w:val="24"/>
          <w:szCs w:val="24"/>
        </w:rPr>
        <w:t xml:space="preserve">amalgamate the village, footpaths and environmental groups. To continue with the three committees, </w:t>
      </w:r>
      <w:r w:rsidR="005A50DA">
        <w:rPr>
          <w:rFonts w:asciiTheme="majorHAnsi" w:hAnsiTheme="majorHAnsi"/>
          <w:bCs/>
          <w:sz w:val="24"/>
          <w:szCs w:val="24"/>
        </w:rPr>
        <w:t>to separate the allotments into a working group, to continue with the events, the youth and the police working groups.</w:t>
      </w:r>
      <w:r w:rsidR="00CE3670">
        <w:rPr>
          <w:rFonts w:asciiTheme="majorHAnsi" w:hAnsiTheme="majorHAnsi"/>
          <w:bCs/>
          <w:sz w:val="24"/>
          <w:szCs w:val="24"/>
        </w:rPr>
        <w:t xml:space="preserve"> Members raised hands to join the groups and </w:t>
      </w:r>
      <w:proofErr w:type="gramStart"/>
      <w:r w:rsidR="00CE3670">
        <w:rPr>
          <w:rFonts w:asciiTheme="majorHAnsi" w:hAnsiTheme="majorHAnsi"/>
          <w:bCs/>
          <w:sz w:val="24"/>
          <w:szCs w:val="24"/>
        </w:rPr>
        <w:t>committees</w:t>
      </w:r>
      <w:proofErr w:type="gramEnd"/>
      <w:r w:rsidR="00CE3670">
        <w:rPr>
          <w:rFonts w:asciiTheme="majorHAnsi" w:hAnsiTheme="majorHAnsi"/>
          <w:bCs/>
          <w:sz w:val="24"/>
          <w:szCs w:val="24"/>
        </w:rPr>
        <w:t xml:space="preserve"> and Clerk will notify </w:t>
      </w:r>
      <w:r w:rsidR="005A7A4E">
        <w:rPr>
          <w:rFonts w:asciiTheme="majorHAnsi" w:hAnsiTheme="majorHAnsi"/>
          <w:bCs/>
          <w:sz w:val="24"/>
          <w:szCs w:val="24"/>
        </w:rPr>
        <w:t>all council at the following meeting of the new arrangements and email access.</w:t>
      </w:r>
    </w:p>
    <w:p w14:paraId="535E81AC" w14:textId="77777777" w:rsidR="00453581" w:rsidRPr="00D13371" w:rsidRDefault="00453581" w:rsidP="00453581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</w:p>
    <w:p w14:paraId="6BA19167" w14:textId="2C6F9F92" w:rsidR="00453581" w:rsidRDefault="00453581" w:rsidP="00453581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  <w:r w:rsidRPr="00D13371">
        <w:rPr>
          <w:rFonts w:asciiTheme="majorHAnsi" w:hAnsiTheme="majorHAnsi"/>
          <w:b/>
          <w:sz w:val="24"/>
          <w:szCs w:val="24"/>
        </w:rPr>
        <w:t>1</w:t>
      </w:r>
      <w:r>
        <w:rPr>
          <w:rFonts w:asciiTheme="majorHAnsi" w:hAnsiTheme="majorHAnsi"/>
          <w:b/>
          <w:sz w:val="24"/>
          <w:szCs w:val="24"/>
        </w:rPr>
        <w:t>2</w:t>
      </w:r>
      <w:r w:rsidRPr="00D13371">
        <w:rPr>
          <w:rFonts w:asciiTheme="majorHAnsi" w:hAnsiTheme="majorHAnsi"/>
          <w:b/>
          <w:sz w:val="24"/>
          <w:szCs w:val="24"/>
        </w:rPr>
        <w:t xml:space="preserve">. </w:t>
      </w:r>
      <w:r>
        <w:rPr>
          <w:rFonts w:asciiTheme="majorHAnsi" w:hAnsiTheme="majorHAnsi"/>
          <w:b/>
          <w:sz w:val="24"/>
          <w:szCs w:val="24"/>
        </w:rPr>
        <w:t xml:space="preserve">Members are requested to delegate financial power to the Revenue and </w:t>
      </w:r>
      <w:r w:rsidR="00A12A55">
        <w:rPr>
          <w:rFonts w:asciiTheme="majorHAnsi" w:hAnsiTheme="majorHAnsi"/>
          <w:b/>
          <w:sz w:val="24"/>
          <w:szCs w:val="24"/>
        </w:rPr>
        <w:t>R</w:t>
      </w:r>
      <w:r>
        <w:rPr>
          <w:rFonts w:asciiTheme="majorHAnsi" w:hAnsiTheme="majorHAnsi"/>
          <w:b/>
          <w:sz w:val="24"/>
          <w:szCs w:val="24"/>
        </w:rPr>
        <w:t>esource committee</w:t>
      </w:r>
      <w:r w:rsidRPr="00D13371">
        <w:rPr>
          <w:rFonts w:asciiTheme="majorHAnsi" w:hAnsiTheme="majorHAnsi"/>
          <w:b/>
          <w:sz w:val="24"/>
          <w:szCs w:val="24"/>
        </w:rPr>
        <w:t xml:space="preserve"> for the </w:t>
      </w:r>
      <w:r>
        <w:rPr>
          <w:rFonts w:asciiTheme="majorHAnsi" w:hAnsiTheme="majorHAnsi"/>
          <w:b/>
          <w:sz w:val="24"/>
          <w:szCs w:val="24"/>
        </w:rPr>
        <w:t>financial year 2025-26 allowing budget and HR decisions to be managed directly</w:t>
      </w:r>
      <w:r w:rsidR="00A12A55">
        <w:rPr>
          <w:rFonts w:asciiTheme="majorHAnsi" w:hAnsiTheme="majorHAnsi"/>
          <w:b/>
          <w:sz w:val="24"/>
          <w:szCs w:val="24"/>
        </w:rPr>
        <w:t>.</w:t>
      </w:r>
    </w:p>
    <w:p w14:paraId="0BA86FD4" w14:textId="69C63F37" w:rsidR="00A12A55" w:rsidRPr="00B04F9C" w:rsidRDefault="00A12A55" w:rsidP="00453581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 w:rsidRPr="00A12A55">
        <w:rPr>
          <w:rFonts w:asciiTheme="majorHAnsi" w:hAnsiTheme="majorHAnsi"/>
          <w:bCs/>
          <w:sz w:val="24"/>
          <w:szCs w:val="24"/>
        </w:rPr>
        <w:t>This was</w:t>
      </w:r>
      <w:r>
        <w:rPr>
          <w:rFonts w:asciiTheme="majorHAnsi" w:hAnsiTheme="majorHAnsi"/>
          <w:b/>
          <w:sz w:val="24"/>
          <w:szCs w:val="24"/>
        </w:rPr>
        <w:t xml:space="preserve"> RESOLVED to ACCEPT</w:t>
      </w:r>
      <w:r w:rsidR="00B04F9C">
        <w:rPr>
          <w:rFonts w:asciiTheme="majorHAnsi" w:hAnsiTheme="majorHAnsi"/>
          <w:b/>
          <w:sz w:val="24"/>
          <w:szCs w:val="24"/>
        </w:rPr>
        <w:t xml:space="preserve"> </w:t>
      </w:r>
      <w:r w:rsidR="00B04F9C" w:rsidRPr="00B04F9C">
        <w:rPr>
          <w:rFonts w:asciiTheme="majorHAnsi" w:hAnsiTheme="majorHAnsi"/>
          <w:bCs/>
          <w:sz w:val="24"/>
          <w:szCs w:val="24"/>
        </w:rPr>
        <w:t>to delegate these powers.</w:t>
      </w:r>
    </w:p>
    <w:p w14:paraId="3054082B" w14:textId="77777777" w:rsidR="00453581" w:rsidRPr="00D13371" w:rsidRDefault="00453581" w:rsidP="00453581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</w:p>
    <w:p w14:paraId="3A2AB272" w14:textId="77777777" w:rsidR="00976C51" w:rsidRDefault="00453581" w:rsidP="00453581">
      <w:pPr>
        <w:pStyle w:val="NoSpacing"/>
        <w:tabs>
          <w:tab w:val="left" w:pos="7428"/>
        </w:tabs>
        <w:rPr>
          <w:rFonts w:asciiTheme="majorHAnsi" w:hAnsiTheme="majorHAnsi"/>
          <w:bCs/>
          <w:color w:val="FF0000"/>
          <w:sz w:val="24"/>
          <w:szCs w:val="24"/>
        </w:rPr>
      </w:pPr>
      <w:r w:rsidRPr="00D13371">
        <w:rPr>
          <w:rFonts w:asciiTheme="majorHAnsi" w:hAnsiTheme="majorHAnsi"/>
          <w:b/>
          <w:sz w:val="24"/>
          <w:szCs w:val="24"/>
        </w:rPr>
        <w:t>1</w:t>
      </w:r>
      <w:r>
        <w:rPr>
          <w:rFonts w:asciiTheme="majorHAnsi" w:hAnsiTheme="majorHAnsi"/>
          <w:b/>
          <w:sz w:val="24"/>
          <w:szCs w:val="24"/>
        </w:rPr>
        <w:t>3</w:t>
      </w:r>
      <w:r w:rsidRPr="00D13371">
        <w:rPr>
          <w:rFonts w:asciiTheme="majorHAnsi" w:hAnsiTheme="majorHAnsi"/>
          <w:b/>
          <w:sz w:val="24"/>
          <w:szCs w:val="24"/>
        </w:rPr>
        <w:t xml:space="preserve">. </w:t>
      </w:r>
      <w:r>
        <w:rPr>
          <w:rFonts w:asciiTheme="majorHAnsi" w:hAnsiTheme="majorHAnsi"/>
          <w:b/>
          <w:sz w:val="24"/>
          <w:szCs w:val="24"/>
        </w:rPr>
        <w:t xml:space="preserve">Members are requested to delegate powers to the </w:t>
      </w:r>
      <w:r w:rsidRPr="00D13371">
        <w:rPr>
          <w:rFonts w:asciiTheme="majorHAnsi" w:hAnsiTheme="majorHAnsi"/>
          <w:b/>
          <w:sz w:val="24"/>
          <w:szCs w:val="24"/>
        </w:rPr>
        <w:t>Planning Committee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14:paraId="08417A8A" w14:textId="77777777" w:rsidR="00357CFC" w:rsidRDefault="00453581" w:rsidP="00453581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 w:rsidRPr="00D13371">
        <w:rPr>
          <w:rFonts w:asciiTheme="majorHAnsi" w:hAnsiTheme="majorHAnsi"/>
          <w:bCs/>
          <w:sz w:val="24"/>
          <w:szCs w:val="24"/>
        </w:rPr>
        <w:t xml:space="preserve">Granted the power to make decisions on behalf of the council (training </w:t>
      </w:r>
      <w:r>
        <w:rPr>
          <w:rFonts w:asciiTheme="majorHAnsi" w:hAnsiTheme="majorHAnsi"/>
          <w:bCs/>
          <w:sz w:val="24"/>
          <w:szCs w:val="24"/>
        </w:rPr>
        <w:t xml:space="preserve">will be allocated and is </w:t>
      </w:r>
      <w:r w:rsidRPr="00D13371">
        <w:rPr>
          <w:rFonts w:asciiTheme="majorHAnsi" w:hAnsiTheme="majorHAnsi"/>
          <w:bCs/>
          <w:sz w:val="24"/>
          <w:szCs w:val="24"/>
        </w:rPr>
        <w:t>essential)</w:t>
      </w:r>
      <w:r w:rsidR="00357CFC">
        <w:rPr>
          <w:rFonts w:asciiTheme="majorHAnsi" w:hAnsiTheme="majorHAnsi"/>
          <w:bCs/>
          <w:sz w:val="24"/>
          <w:szCs w:val="24"/>
        </w:rPr>
        <w:t xml:space="preserve"> make recommendations to council where appropriate. </w:t>
      </w:r>
    </w:p>
    <w:p w14:paraId="22CA14E4" w14:textId="316ECF8F" w:rsidR="00453581" w:rsidRPr="00D13371" w:rsidRDefault="00357CFC" w:rsidP="00453581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It was </w:t>
      </w:r>
      <w:r w:rsidRPr="00357CFC">
        <w:rPr>
          <w:rFonts w:asciiTheme="majorHAnsi" w:hAnsiTheme="majorHAnsi"/>
          <w:b/>
          <w:sz w:val="24"/>
          <w:szCs w:val="24"/>
        </w:rPr>
        <w:t>RESOLVED to ACCEPT</w:t>
      </w:r>
      <w:r w:rsidRPr="00357CFC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>t</w:t>
      </w:r>
      <w:r w:rsidR="005613C3">
        <w:rPr>
          <w:rFonts w:asciiTheme="majorHAnsi" w:hAnsiTheme="majorHAnsi"/>
          <w:bCs/>
          <w:sz w:val="24"/>
          <w:szCs w:val="24"/>
        </w:rPr>
        <w:t xml:space="preserve">o delegate </w:t>
      </w:r>
      <w:r w:rsidR="005A55A1">
        <w:rPr>
          <w:rFonts w:asciiTheme="majorHAnsi" w:hAnsiTheme="majorHAnsi"/>
          <w:bCs/>
          <w:sz w:val="24"/>
          <w:szCs w:val="24"/>
        </w:rPr>
        <w:t>th</w:t>
      </w:r>
      <w:r w:rsidR="005A7A4E">
        <w:rPr>
          <w:rFonts w:asciiTheme="majorHAnsi" w:hAnsiTheme="majorHAnsi"/>
          <w:bCs/>
          <w:sz w:val="24"/>
          <w:szCs w:val="24"/>
        </w:rPr>
        <w:t>ese</w:t>
      </w:r>
      <w:r w:rsidR="005A55A1">
        <w:rPr>
          <w:rFonts w:asciiTheme="majorHAnsi" w:hAnsiTheme="majorHAnsi"/>
          <w:bCs/>
          <w:sz w:val="24"/>
          <w:szCs w:val="24"/>
        </w:rPr>
        <w:t xml:space="preserve"> power</w:t>
      </w:r>
      <w:r w:rsidR="005A7A4E">
        <w:rPr>
          <w:rFonts w:asciiTheme="majorHAnsi" w:hAnsiTheme="majorHAnsi"/>
          <w:bCs/>
          <w:sz w:val="24"/>
          <w:szCs w:val="24"/>
        </w:rPr>
        <w:t>s</w:t>
      </w:r>
      <w:r w:rsidR="005A55A1">
        <w:rPr>
          <w:rFonts w:asciiTheme="majorHAnsi" w:hAnsiTheme="majorHAnsi"/>
          <w:bCs/>
          <w:sz w:val="24"/>
          <w:szCs w:val="24"/>
        </w:rPr>
        <w:t>.</w:t>
      </w:r>
    </w:p>
    <w:p w14:paraId="3D903C4E" w14:textId="77777777" w:rsidR="00453581" w:rsidRPr="00D13371" w:rsidRDefault="00453581" w:rsidP="00453581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61664F21" w14:textId="52500755" w:rsidR="00453581" w:rsidRPr="00D13371" w:rsidRDefault="00453581" w:rsidP="00453581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D13371">
        <w:rPr>
          <w:rFonts w:asciiTheme="majorHAnsi" w:hAnsiTheme="majorHAnsi"/>
          <w:b/>
          <w:bCs/>
          <w:sz w:val="24"/>
          <w:szCs w:val="24"/>
        </w:rPr>
        <w:t>1</w:t>
      </w:r>
      <w:r>
        <w:rPr>
          <w:rFonts w:asciiTheme="majorHAnsi" w:hAnsiTheme="majorHAnsi"/>
          <w:b/>
          <w:bCs/>
          <w:sz w:val="24"/>
          <w:szCs w:val="24"/>
        </w:rPr>
        <w:t>4</w:t>
      </w:r>
      <w:r w:rsidRPr="00D13371">
        <w:rPr>
          <w:rFonts w:asciiTheme="majorHAnsi" w:hAnsiTheme="majorHAnsi"/>
          <w:b/>
          <w:bCs/>
          <w:sz w:val="24"/>
          <w:szCs w:val="24"/>
        </w:rPr>
        <w:t>.Brief Reports from working groups/committees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2CF69A2D" w14:textId="77777777" w:rsidR="00453581" w:rsidRPr="00D13371" w:rsidRDefault="00453581" w:rsidP="00453581">
      <w:pPr>
        <w:pStyle w:val="NoSpacing"/>
        <w:rPr>
          <w:rFonts w:asciiTheme="majorHAnsi" w:hAnsiTheme="majorHAnsi"/>
          <w:sz w:val="24"/>
          <w:szCs w:val="24"/>
        </w:rPr>
      </w:pPr>
      <w:r w:rsidRPr="00D13371">
        <w:rPr>
          <w:rFonts w:asciiTheme="majorHAnsi" w:hAnsiTheme="majorHAnsi"/>
          <w:sz w:val="24"/>
          <w:szCs w:val="24"/>
        </w:rPr>
        <w:t>Members are asked to receive a brief verbal update in regard to the following meetings:</w:t>
      </w:r>
    </w:p>
    <w:p w14:paraId="0B858D7D" w14:textId="77777777" w:rsidR="00453581" w:rsidRDefault="00453581" w:rsidP="0045358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Severn Centre Advisory Board (Cllr Quinn) 9/4/2025</w:t>
      </w:r>
    </w:p>
    <w:p w14:paraId="1D919F6C" w14:textId="77777777" w:rsidR="00453581" w:rsidRDefault="00453581" w:rsidP="0045358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Companions Meeting Feedback (Cllr Quinn) 15/4/2025</w:t>
      </w:r>
    </w:p>
    <w:p w14:paraId="27ABA354" w14:textId="40F937E0" w:rsidR="00453581" w:rsidRPr="00D13371" w:rsidRDefault="00453581" w:rsidP="0045358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 Marys Churchyard Maintenance Emergency Meeting (Cllr Pinches) 17/4/2025</w:t>
      </w:r>
    </w:p>
    <w:p w14:paraId="7EA58DBA" w14:textId="77777777" w:rsidR="00453581" w:rsidRPr="00D13371" w:rsidRDefault="00453581" w:rsidP="00453581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303B0BF6" w14:textId="2F51FAF7" w:rsidR="00453581" w:rsidRPr="00D13371" w:rsidRDefault="00453581" w:rsidP="00453581">
      <w:pPr>
        <w:pStyle w:val="NoSpacing"/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D13371">
        <w:rPr>
          <w:rFonts w:asciiTheme="majorHAnsi" w:hAnsiTheme="majorHAnsi"/>
          <w:b/>
          <w:bCs/>
          <w:sz w:val="24"/>
          <w:szCs w:val="24"/>
        </w:rPr>
        <w:t>1</w:t>
      </w:r>
      <w:r>
        <w:rPr>
          <w:rFonts w:asciiTheme="majorHAnsi" w:hAnsiTheme="majorHAnsi"/>
          <w:b/>
          <w:bCs/>
          <w:sz w:val="24"/>
          <w:szCs w:val="24"/>
        </w:rPr>
        <w:t>5</w:t>
      </w:r>
      <w:r w:rsidRPr="00D13371">
        <w:rPr>
          <w:rFonts w:asciiTheme="majorHAnsi" w:hAnsiTheme="majorHAnsi"/>
          <w:b/>
          <w:bCs/>
          <w:sz w:val="24"/>
          <w:szCs w:val="24"/>
        </w:rPr>
        <w:t xml:space="preserve">. Planning applications received- with recommendations from the planning committee. </w:t>
      </w:r>
      <w:r w:rsidR="00CA4B4B">
        <w:rPr>
          <w:rFonts w:asciiTheme="majorHAnsi" w:hAnsiTheme="majorHAnsi"/>
          <w:sz w:val="24"/>
          <w:szCs w:val="24"/>
        </w:rPr>
        <w:t xml:space="preserve">There were no </w:t>
      </w:r>
      <w:r w:rsidR="00897697">
        <w:rPr>
          <w:rFonts w:asciiTheme="majorHAnsi" w:hAnsiTheme="majorHAnsi"/>
          <w:sz w:val="24"/>
          <w:szCs w:val="24"/>
        </w:rPr>
        <w:t>applications,</w:t>
      </w:r>
      <w:r w:rsidR="00CA4B4B">
        <w:rPr>
          <w:rFonts w:asciiTheme="majorHAnsi" w:hAnsiTheme="majorHAnsi"/>
          <w:sz w:val="24"/>
          <w:szCs w:val="24"/>
        </w:rPr>
        <w:t xml:space="preserve"> but a discussion of the Castle grounds</w:t>
      </w:r>
      <w:r w:rsidR="00BA17E3">
        <w:rPr>
          <w:rFonts w:asciiTheme="majorHAnsi" w:hAnsiTheme="majorHAnsi"/>
          <w:sz w:val="24"/>
          <w:szCs w:val="24"/>
        </w:rPr>
        <w:t xml:space="preserve"> (former public house) </w:t>
      </w:r>
      <w:r w:rsidR="00CA4B4B">
        <w:rPr>
          <w:rFonts w:asciiTheme="majorHAnsi" w:hAnsiTheme="majorHAnsi"/>
          <w:sz w:val="24"/>
          <w:szCs w:val="24"/>
        </w:rPr>
        <w:t xml:space="preserve">site occurred and actions to contact </w:t>
      </w:r>
      <w:r w:rsidR="00BA17E3">
        <w:rPr>
          <w:rFonts w:asciiTheme="majorHAnsi" w:hAnsiTheme="majorHAnsi"/>
          <w:sz w:val="24"/>
          <w:szCs w:val="24"/>
        </w:rPr>
        <w:t xml:space="preserve">the </w:t>
      </w:r>
      <w:r w:rsidR="00CA4B4B">
        <w:rPr>
          <w:rFonts w:asciiTheme="majorHAnsi" w:hAnsiTheme="majorHAnsi"/>
          <w:sz w:val="24"/>
          <w:szCs w:val="24"/>
        </w:rPr>
        <w:t>Environmental Health, Enforcement officer</w:t>
      </w:r>
      <w:r w:rsidR="008A0328">
        <w:rPr>
          <w:rFonts w:asciiTheme="majorHAnsi" w:hAnsiTheme="majorHAnsi"/>
          <w:sz w:val="24"/>
          <w:szCs w:val="24"/>
        </w:rPr>
        <w:t xml:space="preserve"> and Ecologist</w:t>
      </w:r>
      <w:r w:rsidR="00CA4B4B">
        <w:rPr>
          <w:rFonts w:asciiTheme="majorHAnsi" w:hAnsiTheme="majorHAnsi"/>
          <w:sz w:val="24"/>
          <w:szCs w:val="24"/>
        </w:rPr>
        <w:t xml:space="preserve"> </w:t>
      </w:r>
      <w:r w:rsidR="00BA17E3">
        <w:rPr>
          <w:rFonts w:asciiTheme="majorHAnsi" w:hAnsiTheme="majorHAnsi"/>
          <w:sz w:val="24"/>
          <w:szCs w:val="24"/>
        </w:rPr>
        <w:t xml:space="preserve">were requested. </w:t>
      </w:r>
    </w:p>
    <w:p w14:paraId="6446ABB7" w14:textId="77777777" w:rsidR="00453581" w:rsidRDefault="00453581" w:rsidP="00453581">
      <w:pPr>
        <w:pStyle w:val="NoSpacing"/>
        <w:rPr>
          <w:rFonts w:asciiTheme="majorHAnsi" w:hAnsiTheme="majorHAnsi"/>
          <w:strike/>
          <w:sz w:val="24"/>
          <w:szCs w:val="24"/>
        </w:rPr>
      </w:pPr>
    </w:p>
    <w:p w14:paraId="71E7D4CB" w14:textId="7DDC8251" w:rsidR="00453581" w:rsidRDefault="00453581" w:rsidP="00453581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16. Members are asked to consider submission of grant applications from:</w:t>
      </w:r>
    </w:p>
    <w:p w14:paraId="65DB563F" w14:textId="3DF3AF9E" w:rsidR="00453581" w:rsidRDefault="00453581" w:rsidP="0045358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Pop-In Club grant - </w:t>
      </w:r>
      <w:r w:rsidRPr="002E24AA">
        <w:rPr>
          <w:rFonts w:asciiTheme="majorHAnsi" w:hAnsiTheme="majorHAnsi"/>
          <w:sz w:val="24"/>
          <w:szCs w:val="24"/>
        </w:rPr>
        <w:t xml:space="preserve">part payment of annual hall </w:t>
      </w:r>
      <w:proofErr w:type="gramStart"/>
      <w:r w:rsidR="00893BB4" w:rsidRPr="002E24AA">
        <w:rPr>
          <w:rFonts w:asciiTheme="majorHAnsi" w:hAnsiTheme="majorHAnsi"/>
          <w:sz w:val="24"/>
          <w:szCs w:val="24"/>
        </w:rPr>
        <w:t>hire</w:t>
      </w:r>
      <w:proofErr w:type="gramEnd"/>
      <w:r w:rsidR="00CF55EE">
        <w:rPr>
          <w:rFonts w:asciiTheme="majorHAnsi" w:hAnsiTheme="majorHAnsi"/>
          <w:sz w:val="24"/>
          <w:szCs w:val="24"/>
        </w:rPr>
        <w:t xml:space="preserve"> </w:t>
      </w:r>
      <w:r w:rsidRPr="002E24AA">
        <w:rPr>
          <w:rFonts w:asciiTheme="majorHAnsi" w:hAnsiTheme="majorHAnsi"/>
          <w:sz w:val="24"/>
          <w:szCs w:val="24"/>
        </w:rPr>
        <w:t>50/50 match funded.</w:t>
      </w:r>
    </w:p>
    <w:p w14:paraId="1BBA3524" w14:textId="39B0F28D" w:rsidR="00AD3392" w:rsidRDefault="00AD3392" w:rsidP="0045358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 w:rsidRPr="00AD3392"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to pay this grant in full.</w:t>
      </w:r>
    </w:p>
    <w:p w14:paraId="2A889B4F" w14:textId="77777777" w:rsidR="00453581" w:rsidRDefault="00453581" w:rsidP="00453581">
      <w:pPr>
        <w:pStyle w:val="NoSpacing"/>
        <w:rPr>
          <w:rFonts w:asciiTheme="majorHAnsi" w:hAnsiTheme="majorHAnsi"/>
          <w:sz w:val="24"/>
          <w:szCs w:val="24"/>
        </w:rPr>
      </w:pPr>
      <w:r w:rsidRPr="00B56569">
        <w:rPr>
          <w:rFonts w:asciiTheme="majorHAnsi" w:hAnsiTheme="majorHAnsi"/>
          <w:b/>
          <w:bCs/>
          <w:sz w:val="24"/>
          <w:szCs w:val="24"/>
        </w:rPr>
        <w:t xml:space="preserve">The Companions Club </w:t>
      </w:r>
      <w:r>
        <w:rPr>
          <w:rFonts w:asciiTheme="majorHAnsi" w:hAnsiTheme="majorHAnsi"/>
          <w:b/>
          <w:bCs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grant funding for room costs for dementia group.</w:t>
      </w:r>
    </w:p>
    <w:p w14:paraId="55BAF92B" w14:textId="77777777" w:rsidR="00453581" w:rsidRPr="002E24AA" w:rsidRDefault="00453581" w:rsidP="0045358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(Both applications have been available in the Parish Council office for viewing.)</w:t>
      </w:r>
    </w:p>
    <w:p w14:paraId="72CED080" w14:textId="368FAEE5" w:rsidR="00AD3392" w:rsidRDefault="00AD3392" w:rsidP="00AD3392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 w:rsidRPr="00AD3392"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to pay this grant in full.</w:t>
      </w:r>
    </w:p>
    <w:p w14:paraId="00F5CDCD" w14:textId="77777777" w:rsidR="00453581" w:rsidRDefault="00453581" w:rsidP="00453581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70E4E984" w14:textId="793DC807" w:rsidR="00453581" w:rsidRDefault="00453581" w:rsidP="00453581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17. Correspondence</w:t>
      </w:r>
    </w:p>
    <w:p w14:paraId="18DF6810" w14:textId="77777777" w:rsidR="00453581" w:rsidRDefault="00453581" w:rsidP="00453581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>1. Road Closure A442 Danesford to Bridgnorth 30</w:t>
      </w:r>
      <w:r w:rsidRPr="00EE478E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May to 10</w:t>
      </w:r>
      <w:r w:rsidRPr="00EE478E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June</w:t>
      </w:r>
    </w:p>
    <w:p w14:paraId="4DA7FD9C" w14:textId="77777777" w:rsidR="00453581" w:rsidRDefault="00453581" w:rsidP="00453581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  <w:t>2. Road Closure A442 Danesford 30</w:t>
      </w:r>
      <w:r w:rsidRPr="00EE478E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May to 1</w:t>
      </w:r>
      <w:r w:rsidRPr="00EE478E">
        <w:rPr>
          <w:rFonts w:asciiTheme="majorHAnsi" w:hAnsiTheme="majorHAnsi"/>
          <w:bCs/>
          <w:sz w:val="24"/>
          <w:szCs w:val="24"/>
          <w:vertAlign w:val="superscript"/>
        </w:rPr>
        <w:t>st</w:t>
      </w:r>
      <w:r>
        <w:rPr>
          <w:rFonts w:asciiTheme="majorHAnsi" w:hAnsiTheme="majorHAnsi"/>
          <w:bCs/>
          <w:sz w:val="24"/>
          <w:szCs w:val="24"/>
        </w:rPr>
        <w:t xml:space="preserve"> June</w:t>
      </w:r>
    </w:p>
    <w:p w14:paraId="40B934AB" w14:textId="77777777" w:rsidR="00453581" w:rsidRDefault="00453581" w:rsidP="00453581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  <w:t>3. Road Closure A442 Quatford 18</w:t>
      </w:r>
      <w:r w:rsidRPr="00EE478E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May to 12</w:t>
      </w:r>
      <w:r w:rsidRPr="00EE478E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June</w:t>
      </w:r>
    </w:p>
    <w:p w14:paraId="1C266CA6" w14:textId="77777777" w:rsidR="00453581" w:rsidRDefault="00453581" w:rsidP="00453581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lastRenderedPageBreak/>
        <w:tab/>
        <w:t>4. Help shape the future of diabetes (emailed 9/4/25)</w:t>
      </w:r>
    </w:p>
    <w:p w14:paraId="0922DEB2" w14:textId="77777777" w:rsidR="00453581" w:rsidRDefault="00453581" w:rsidP="00453581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  <w:t>5. Road Closure A458 Stourbridge 22/5-7/7/25</w:t>
      </w:r>
    </w:p>
    <w:p w14:paraId="19C60398" w14:textId="77777777" w:rsidR="00453581" w:rsidRDefault="00453581" w:rsidP="00453581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  <w:t>6. Road Closure – Woodhill Road 28</w:t>
      </w:r>
      <w:r w:rsidRPr="00541E77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>-30</w:t>
      </w:r>
      <w:r w:rsidRPr="00541E77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May</w:t>
      </w:r>
    </w:p>
    <w:p w14:paraId="032C8D91" w14:textId="6F0755F1" w:rsidR="00A62846" w:rsidRDefault="00A62846" w:rsidP="00453581">
      <w:pPr>
        <w:pStyle w:val="NoSpacing"/>
        <w:rPr>
          <w:rFonts w:asciiTheme="majorHAnsi" w:hAnsiTheme="majorHAnsi"/>
          <w:b/>
          <w:sz w:val="24"/>
          <w:szCs w:val="24"/>
        </w:rPr>
      </w:pPr>
      <w:r w:rsidRPr="00A62846">
        <w:rPr>
          <w:rFonts w:asciiTheme="majorHAnsi" w:hAnsiTheme="majorHAnsi"/>
          <w:b/>
          <w:sz w:val="24"/>
          <w:szCs w:val="24"/>
        </w:rPr>
        <w:t>PV requested Highways meeting regarding signage</w:t>
      </w:r>
      <w:r w:rsidR="00B7048B">
        <w:rPr>
          <w:rFonts w:asciiTheme="majorHAnsi" w:hAnsiTheme="majorHAnsi"/>
          <w:b/>
          <w:sz w:val="24"/>
          <w:szCs w:val="24"/>
        </w:rPr>
        <w:t xml:space="preserve"> for all future road works</w:t>
      </w:r>
      <w:r w:rsidRPr="00A62846">
        <w:rPr>
          <w:rFonts w:asciiTheme="majorHAnsi" w:hAnsiTheme="majorHAnsi"/>
          <w:b/>
          <w:sz w:val="24"/>
          <w:szCs w:val="24"/>
        </w:rPr>
        <w:t>.</w:t>
      </w:r>
    </w:p>
    <w:p w14:paraId="5C84A925" w14:textId="77777777" w:rsidR="00453581" w:rsidRDefault="00453581" w:rsidP="00453581">
      <w:pPr>
        <w:pStyle w:val="NoSpacing"/>
        <w:rPr>
          <w:rFonts w:asciiTheme="majorHAnsi" w:hAnsiTheme="majorHAnsi"/>
          <w:bCs/>
          <w:sz w:val="24"/>
          <w:szCs w:val="24"/>
        </w:rPr>
      </w:pPr>
    </w:p>
    <w:p w14:paraId="6859E2DB" w14:textId="788A5F78" w:rsidR="00453581" w:rsidRPr="00D13371" w:rsidRDefault="00453581" w:rsidP="00453581">
      <w:pPr>
        <w:pStyle w:val="NoSpacing"/>
        <w:rPr>
          <w:rFonts w:asciiTheme="majorHAnsi" w:hAnsiTheme="majorHAnsi"/>
          <w:b/>
          <w:sz w:val="24"/>
          <w:szCs w:val="24"/>
        </w:rPr>
      </w:pPr>
      <w:r w:rsidRPr="00D13371">
        <w:rPr>
          <w:rFonts w:asciiTheme="majorHAnsi" w:hAnsiTheme="majorHAnsi"/>
          <w:b/>
          <w:sz w:val="24"/>
          <w:szCs w:val="24"/>
        </w:rPr>
        <w:t>1</w:t>
      </w:r>
      <w:r>
        <w:rPr>
          <w:rFonts w:asciiTheme="majorHAnsi" w:hAnsiTheme="majorHAnsi"/>
          <w:b/>
          <w:sz w:val="24"/>
          <w:szCs w:val="24"/>
        </w:rPr>
        <w:t>8</w:t>
      </w:r>
      <w:r w:rsidRPr="00D13371">
        <w:rPr>
          <w:rFonts w:asciiTheme="majorHAnsi" w:hAnsiTheme="majorHAnsi"/>
          <w:b/>
          <w:sz w:val="24"/>
          <w:szCs w:val="24"/>
        </w:rPr>
        <w:t>. External Reports</w:t>
      </w:r>
    </w:p>
    <w:p w14:paraId="5B60D368" w14:textId="77777777" w:rsidR="00453581" w:rsidRPr="00D13371" w:rsidRDefault="00453581" w:rsidP="00453581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D13371">
        <w:rPr>
          <w:rFonts w:asciiTheme="majorHAnsi" w:hAnsiTheme="majorHAnsi"/>
          <w:bCs/>
          <w:sz w:val="24"/>
          <w:szCs w:val="24"/>
        </w:rPr>
        <w:t>Members are asked to consider the following reports:</w:t>
      </w:r>
    </w:p>
    <w:p w14:paraId="2C9B338B" w14:textId="1C40A090" w:rsidR="00453581" w:rsidRPr="00560C6A" w:rsidRDefault="00453581" w:rsidP="00453581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bCs/>
          <w:sz w:val="24"/>
          <w:szCs w:val="24"/>
        </w:rPr>
      </w:pPr>
      <w:r w:rsidRPr="00D13371">
        <w:rPr>
          <w:rFonts w:asciiTheme="majorHAnsi" w:hAnsiTheme="majorHAnsi"/>
          <w:b/>
          <w:sz w:val="24"/>
          <w:szCs w:val="24"/>
        </w:rPr>
        <w:t xml:space="preserve">Shropshire Councillor </w:t>
      </w:r>
      <w:r w:rsidR="001E304A">
        <w:rPr>
          <w:rFonts w:asciiTheme="majorHAnsi" w:hAnsiTheme="majorHAnsi"/>
          <w:b/>
          <w:sz w:val="24"/>
          <w:szCs w:val="24"/>
        </w:rPr>
        <w:t>Sharon Ritchie-Simmons</w:t>
      </w:r>
    </w:p>
    <w:p w14:paraId="59153183" w14:textId="44E33BA2" w:rsidR="00453581" w:rsidRPr="00D13371" w:rsidRDefault="00560C6A" w:rsidP="005D4905">
      <w:pPr>
        <w:pStyle w:val="NoSpacing"/>
        <w:ind w:left="720"/>
        <w:rPr>
          <w:rFonts w:asciiTheme="majorHAnsi" w:hAnsiTheme="majorHAnsi"/>
          <w:bCs/>
          <w:sz w:val="24"/>
          <w:szCs w:val="24"/>
        </w:rPr>
      </w:pPr>
      <w:r w:rsidRPr="00435A2F">
        <w:rPr>
          <w:rFonts w:asciiTheme="majorHAnsi" w:hAnsiTheme="majorHAnsi"/>
          <w:bCs/>
          <w:sz w:val="24"/>
          <w:szCs w:val="24"/>
        </w:rPr>
        <w:t xml:space="preserve">Councillor Ritchie-Simmons introduced herself </w:t>
      </w:r>
      <w:r w:rsidR="00435A2F" w:rsidRPr="00435A2F">
        <w:rPr>
          <w:rFonts w:asciiTheme="majorHAnsi" w:hAnsiTheme="majorHAnsi"/>
          <w:bCs/>
          <w:sz w:val="24"/>
          <w:szCs w:val="24"/>
        </w:rPr>
        <w:t xml:space="preserve">and </w:t>
      </w:r>
      <w:r w:rsidR="00500D81">
        <w:rPr>
          <w:rFonts w:asciiTheme="majorHAnsi" w:hAnsiTheme="majorHAnsi"/>
          <w:bCs/>
          <w:sz w:val="24"/>
          <w:szCs w:val="24"/>
        </w:rPr>
        <w:t>shared her experience and skills that she will be able to bring to the council to support Highley.</w:t>
      </w:r>
      <w:r w:rsidR="000F7F9B">
        <w:rPr>
          <w:rFonts w:asciiTheme="majorHAnsi" w:hAnsiTheme="majorHAnsi"/>
          <w:bCs/>
          <w:sz w:val="24"/>
          <w:szCs w:val="24"/>
        </w:rPr>
        <w:t xml:space="preserve"> </w:t>
      </w:r>
    </w:p>
    <w:p w14:paraId="1D195C83" w14:textId="3736A1DB" w:rsidR="00453581" w:rsidRPr="008A6EBD" w:rsidRDefault="00453581" w:rsidP="00453581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b/>
          <w:sz w:val="24"/>
          <w:szCs w:val="24"/>
        </w:rPr>
      </w:pPr>
      <w:r w:rsidRPr="00D13371">
        <w:rPr>
          <w:rFonts w:asciiTheme="majorHAnsi" w:hAnsiTheme="majorHAnsi"/>
          <w:b/>
          <w:sz w:val="24"/>
          <w:szCs w:val="24"/>
        </w:rPr>
        <w:t xml:space="preserve">Policing report </w:t>
      </w:r>
      <w:r>
        <w:rPr>
          <w:rFonts w:asciiTheme="majorHAnsi" w:hAnsiTheme="majorHAnsi"/>
          <w:bCs/>
          <w:sz w:val="24"/>
          <w:szCs w:val="24"/>
        </w:rPr>
        <w:t>–</w:t>
      </w:r>
      <w:r w:rsidRPr="00D13371">
        <w:rPr>
          <w:rFonts w:asciiTheme="majorHAnsi" w:hAnsiTheme="majorHAnsi"/>
          <w:bCs/>
          <w:sz w:val="24"/>
          <w:szCs w:val="24"/>
        </w:rPr>
        <w:t xml:space="preserve"> </w:t>
      </w:r>
      <w:r w:rsidR="00A62846">
        <w:rPr>
          <w:rFonts w:asciiTheme="majorHAnsi" w:hAnsiTheme="majorHAnsi"/>
          <w:bCs/>
          <w:sz w:val="24"/>
          <w:szCs w:val="24"/>
        </w:rPr>
        <w:t xml:space="preserve">shared </w:t>
      </w:r>
      <w:r w:rsidR="00500D81">
        <w:rPr>
          <w:rFonts w:asciiTheme="majorHAnsi" w:hAnsiTheme="majorHAnsi"/>
          <w:bCs/>
          <w:sz w:val="24"/>
          <w:szCs w:val="24"/>
        </w:rPr>
        <w:t>separately.</w:t>
      </w:r>
    </w:p>
    <w:p w14:paraId="2DE16976" w14:textId="6042152D" w:rsidR="001D0AEB" w:rsidRDefault="001D0AEB" w:rsidP="00B3415A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349936C9" w14:textId="77777777" w:rsidR="00D33973" w:rsidRDefault="00D33973" w:rsidP="00D33973">
      <w:pPr>
        <w:pStyle w:val="NoSpacing"/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</w:pPr>
      <w:bookmarkStart w:id="1" w:name="_Hlk198201302"/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19. Finance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314"/>
        <w:gridCol w:w="88"/>
        <w:gridCol w:w="761"/>
        <w:gridCol w:w="222"/>
        <w:gridCol w:w="2710"/>
        <w:gridCol w:w="124"/>
        <w:gridCol w:w="2797"/>
      </w:tblGrid>
      <w:tr w:rsidR="00D33973" w14:paraId="38BFA209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8180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Lloyds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0C75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13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88D8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Transfer to CCLA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A3FC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£85,000</w:t>
            </w:r>
          </w:p>
        </w:tc>
      </w:tr>
      <w:tr w:rsidR="00D33973" w14:paraId="38C6A788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028C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Severn Centre Trust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6F13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19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3146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Community days x3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308F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£133.92</w:t>
            </w:r>
          </w:p>
        </w:tc>
      </w:tr>
      <w:tr w:rsidR="00D33973" w14:paraId="32E9BC51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CE1F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Severn Centre Trust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3A34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18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A68B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Youth Club Q1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118B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£586.92</w:t>
            </w:r>
          </w:p>
        </w:tc>
      </w:tr>
      <w:tr w:rsidR="00D33973" w14:paraId="1208B81A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3974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Severn Centre Trust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02A9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17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0057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Office Hire Q1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AF4C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£240.84</w:t>
            </w:r>
          </w:p>
        </w:tc>
      </w:tr>
      <w:tr w:rsidR="00D33973" w14:paraId="6119230C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7E7B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Severn Centre Trust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27FF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16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5074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Meeting Room Q1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64C7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£227.67</w:t>
            </w:r>
          </w:p>
        </w:tc>
      </w:tr>
      <w:tr w:rsidR="00D33973" w14:paraId="277CAE41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6DD6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SALC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627E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15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34A4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annual Membership (subscription)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729C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£1,764.69</w:t>
            </w:r>
          </w:p>
        </w:tc>
      </w:tr>
      <w:tr w:rsidR="00D33973" w14:paraId="3ACEDA03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B672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V Turner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3484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14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497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Internal Auditor Fee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907C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£270.00</w:t>
            </w:r>
          </w:p>
        </w:tc>
      </w:tr>
      <w:tr w:rsidR="00D33973" w14:paraId="6B79B487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6D66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Highley Pop-In Club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A064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2154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Grant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56E0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£720.00</w:t>
            </w:r>
          </w:p>
        </w:tc>
      </w:tr>
      <w:tr w:rsidR="00D33973" w14:paraId="6741C812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8120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Highley Companions Club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799F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21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B029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Grant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0836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£1,000.00</w:t>
            </w:r>
          </w:p>
        </w:tc>
      </w:tr>
      <w:tr w:rsidR="00D33973" w14:paraId="36DD9007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4D2D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SVCP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B41B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22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33D9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Annual Grant Award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BC9C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£4,000</w:t>
            </w:r>
          </w:p>
        </w:tc>
      </w:tr>
      <w:tr w:rsidR="00D33973" w14:paraId="71FEE166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30D6" w14:textId="77777777" w:rsidR="00D33973" w:rsidRDefault="00D33973">
            <w:pPr>
              <w:pStyle w:val="NoSpacing"/>
              <w:tabs>
                <w:tab w:val="center" w:pos="4513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HMRC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68D9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23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FDEA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May Tax and Ni 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AC83" w14:textId="77777777" w:rsidR="00D33973" w:rsidRDefault="00D33973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£770.84</w:t>
            </w:r>
          </w:p>
        </w:tc>
      </w:tr>
      <w:tr w:rsidR="00D33973" w14:paraId="196EF75A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EEA7" w14:textId="77777777" w:rsidR="00D33973" w:rsidRDefault="00D3397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6C63" w14:textId="77777777" w:rsidR="00D33973" w:rsidRDefault="00D3397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E523" w14:textId="77777777" w:rsidR="00D33973" w:rsidRDefault="00D3397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3B05" w14:textId="77777777" w:rsidR="00D33973" w:rsidRDefault="00D33973">
            <w:pPr>
              <w:rPr>
                <w:sz w:val="20"/>
                <w:szCs w:val="20"/>
                <w:lang w:eastAsia="en-GB"/>
              </w:rPr>
            </w:pPr>
          </w:p>
        </w:tc>
      </w:tr>
      <w:tr w:rsidR="00D33973" w14:paraId="296C1027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E494" w14:textId="77777777" w:rsidR="00D33973" w:rsidRDefault="00D33973">
            <w:pPr>
              <w:pStyle w:val="NoSpacing"/>
              <w:tabs>
                <w:tab w:val="center" w:pos="4513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>St Marys Churchyard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D40A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24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480B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Maintenance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A19E" w14:textId="77777777" w:rsidR="00D33973" w:rsidRDefault="00D33973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£487.50</w:t>
            </w:r>
          </w:p>
        </w:tc>
      </w:tr>
      <w:tr w:rsidR="00D33973" w14:paraId="5F751B8C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7545" w14:textId="77777777" w:rsidR="00D33973" w:rsidRDefault="00D33973">
            <w:pPr>
              <w:pStyle w:val="NoSpacing"/>
              <w:tabs>
                <w:tab w:val="center" w:pos="4513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>LGPC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AE62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25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C907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April Pension Employer </w:t>
            </w:r>
            <w:proofErr w:type="spellStart"/>
            <w:r>
              <w:rPr>
                <w:rFonts w:eastAsiaTheme="minorHAnsi"/>
              </w:rPr>
              <w:t>Cont</w:t>
            </w:r>
            <w:proofErr w:type="spellEnd"/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133E" w14:textId="77777777" w:rsidR="00D33973" w:rsidRDefault="00D33973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Approved April 25 M16</w:t>
            </w:r>
          </w:p>
        </w:tc>
      </w:tr>
      <w:tr w:rsidR="00D33973" w14:paraId="1D8E39E5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A486" w14:textId="77777777" w:rsidR="00D33973" w:rsidRDefault="00D33973">
            <w:pPr>
              <w:pStyle w:val="NoSpacing"/>
              <w:tabs>
                <w:tab w:val="center" w:pos="4513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>Lebara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7A48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26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C837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Mobile SIM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B854" w14:textId="77777777" w:rsidR="00D33973" w:rsidRDefault="00D33973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£5</w:t>
            </w:r>
          </w:p>
        </w:tc>
      </w:tr>
      <w:tr w:rsidR="00D33973" w14:paraId="6AF95475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D5B0" w14:textId="77777777" w:rsidR="00D33973" w:rsidRDefault="00D33973">
            <w:pPr>
              <w:pStyle w:val="NoSpacing"/>
              <w:tabs>
                <w:tab w:val="center" w:pos="4513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>Clerks Salary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B66D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27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463D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End of month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9FC6" w14:textId="77777777" w:rsidR="00D33973" w:rsidRDefault="00D33973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As agreed,</w:t>
            </w:r>
          </w:p>
        </w:tc>
      </w:tr>
      <w:tr w:rsidR="00D33973" w14:paraId="05AACF17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EB0F" w14:textId="77777777" w:rsidR="00D33973" w:rsidRDefault="00D33973">
            <w:pPr>
              <w:pStyle w:val="NoSpacing"/>
              <w:tabs>
                <w:tab w:val="center" w:pos="4513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>LGPC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A7A5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28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2EE5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May Pension Employer </w:t>
            </w:r>
            <w:proofErr w:type="spellStart"/>
            <w:r>
              <w:rPr>
                <w:rFonts w:eastAsiaTheme="minorHAnsi"/>
              </w:rPr>
              <w:t>Cont</w:t>
            </w:r>
            <w:proofErr w:type="spellEnd"/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EBBF" w14:textId="77777777" w:rsidR="00D33973" w:rsidRDefault="00D33973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As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agreed</w:t>
            </w:r>
            <w:proofErr w:type="gramEnd"/>
          </w:p>
        </w:tc>
      </w:tr>
      <w:tr w:rsidR="00D33973" w14:paraId="4400D81D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4A86" w14:textId="77777777" w:rsidR="00D33973" w:rsidRDefault="00D33973">
            <w:pPr>
              <w:pStyle w:val="NoSpacing"/>
              <w:tabs>
                <w:tab w:val="center" w:pos="4513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>HMRC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ADC0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29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8BFF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May tax &amp; Ni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908" w14:textId="77777777" w:rsidR="00D33973" w:rsidRDefault="00D33973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33973" w14:paraId="617971A8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B310" w14:textId="77777777" w:rsidR="00D33973" w:rsidRDefault="00D33973">
            <w:pPr>
              <w:pStyle w:val="NoSpacing"/>
              <w:tabs>
                <w:tab w:val="center" w:pos="4513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>RJM Contract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678C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30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2DB7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Strimming Part 1 of EMG grant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A6BD" w14:textId="77777777" w:rsidR="00D33973" w:rsidRDefault="00D33973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£460.00</w:t>
            </w:r>
          </w:p>
        </w:tc>
      </w:tr>
      <w:tr w:rsidR="00D33973" w14:paraId="34A5868C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2170" w14:textId="77777777" w:rsidR="00D33973" w:rsidRDefault="00D33973">
            <w:pPr>
              <w:pStyle w:val="NoSpacing"/>
              <w:tabs>
                <w:tab w:val="center" w:pos="4513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>Lealans Garden Centre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6C47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31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A82D" w14:textId="77777777" w:rsidR="00D33973" w:rsidRDefault="00D33973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Hanging Baskets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8BA9" w14:textId="77777777" w:rsidR="00D33973" w:rsidRDefault="00D33973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£1,632.00</w:t>
            </w:r>
          </w:p>
        </w:tc>
      </w:tr>
      <w:tr w:rsidR="00890D16" w14:paraId="3912C49B" w14:textId="77777777" w:rsidTr="00D33973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4FED" w14:textId="5C86F208" w:rsidR="00890D16" w:rsidRDefault="00890D16">
            <w:pPr>
              <w:pStyle w:val="NoSpacing"/>
              <w:tabs>
                <w:tab w:val="center" w:pos="4513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>Gallaghers Insurance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A86" w14:textId="5D24E6F7" w:rsidR="00890D16" w:rsidRDefault="00890D16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32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F13C" w14:textId="304C6B06" w:rsidR="00890D16" w:rsidRDefault="00890D16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Annual Public Liability etc 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5A5E" w14:textId="39FD4BD3" w:rsidR="00890D16" w:rsidRDefault="00890D16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£1490.72</w:t>
            </w:r>
          </w:p>
        </w:tc>
      </w:tr>
      <w:tr w:rsidR="004D6D9B" w14:paraId="57A69E3B" w14:textId="77777777" w:rsidTr="004D6D9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AC65" w14:textId="77777777" w:rsidR="004D6D9B" w:rsidRDefault="004D6D9B">
            <w:pPr>
              <w:pStyle w:val="NoSpacing"/>
              <w:tabs>
                <w:tab w:val="center" w:pos="4513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>Amazon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9B4C" w14:textId="77777777" w:rsidR="004D6D9B" w:rsidRDefault="004D6D9B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33/34/35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8F26" w14:textId="77777777" w:rsidR="004D6D9B" w:rsidRDefault="004D6D9B">
            <w:pPr>
              <w:spacing w:line="252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Ink/H&amp;S/RA booklets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64CB" w14:textId="77777777" w:rsidR="004D6D9B" w:rsidRDefault="004D6D9B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£57.58</w:t>
            </w:r>
          </w:p>
        </w:tc>
      </w:tr>
    </w:tbl>
    <w:p w14:paraId="4D276C85" w14:textId="77777777" w:rsidR="00D33973" w:rsidRDefault="00D33973" w:rsidP="00D33973">
      <w:pPr>
        <w:pStyle w:val="NoSpacing"/>
        <w:rPr>
          <w:rFonts w:asciiTheme="majorHAnsi" w:hAnsiTheme="majorHAnsi"/>
          <w:sz w:val="24"/>
          <w:szCs w:val="24"/>
        </w:rPr>
      </w:pPr>
    </w:p>
    <w:p w14:paraId="7C7B04FA" w14:textId="77777777" w:rsidR="00D33973" w:rsidRDefault="00D33973" w:rsidP="00D33973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bookmarkStart w:id="2" w:name="_Hlk181722844"/>
      <w:bookmarkEnd w:id="1"/>
      <w:r>
        <w:rPr>
          <w:rFonts w:asciiTheme="majorHAnsi" w:hAnsiTheme="majorHAnsi"/>
          <w:b/>
          <w:bCs/>
          <w:sz w:val="24"/>
          <w:szCs w:val="24"/>
        </w:rPr>
        <w:t xml:space="preserve">Lloyds Swimming Pool Fund Account: </w:t>
      </w:r>
    </w:p>
    <w:p w14:paraId="167AE2C9" w14:textId="77777777" w:rsidR="00D33973" w:rsidRDefault="00D33973" w:rsidP="00D3397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Payment £4683.98 L. Aspin decommission splash pool and create seating area.</w:t>
      </w:r>
    </w:p>
    <w:p w14:paraId="035AE528" w14:textId="77777777" w:rsidR="00D33973" w:rsidRDefault="00D33973" w:rsidP="00D3397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Account now CLOSED</w:t>
      </w:r>
    </w:p>
    <w:p w14:paraId="5115E27B" w14:textId="77777777" w:rsidR="00D33973" w:rsidRDefault="00D33973" w:rsidP="00D33973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Lloyds Interest Account:</w:t>
      </w:r>
    </w:p>
    <w:p w14:paraId="4F9E764E" w14:textId="77777777" w:rsidR="00D33973" w:rsidRDefault="00D33973" w:rsidP="00D3397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£85,000 from precept to CCLA account (transferred via community current account) </w:t>
      </w:r>
    </w:p>
    <w:p w14:paraId="0D2D5E37" w14:textId="77777777" w:rsidR="00D33973" w:rsidRDefault="00D33973" w:rsidP="00D33973">
      <w:pPr>
        <w:pStyle w:val="NoSpacing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Inv</w:t>
      </w:r>
      <w:proofErr w:type="spellEnd"/>
      <w:r>
        <w:rPr>
          <w:rFonts w:asciiTheme="majorHAnsi" w:hAnsiTheme="majorHAnsi"/>
          <w:sz w:val="24"/>
          <w:szCs w:val="24"/>
        </w:rPr>
        <w:t xml:space="preserve"> Ref 13</w:t>
      </w:r>
    </w:p>
    <w:p w14:paraId="20840939" w14:textId="77777777" w:rsidR="00D33973" w:rsidRDefault="00D33973" w:rsidP="00D33973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04628DC0" w14:textId="77777777" w:rsidR="00D33973" w:rsidRDefault="00D33973" w:rsidP="00D33973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lastRenderedPageBreak/>
        <w:t>For approval but awaiting invoice or works before payment:</w:t>
      </w:r>
      <w:bookmarkEnd w:id="2"/>
    </w:p>
    <w:p w14:paraId="53E4C183" w14:textId="092D35D3" w:rsidR="00D33973" w:rsidRDefault="00D33973" w:rsidP="00D33973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Book Planning Training for ALL of planning committee</w:t>
      </w:r>
      <w:r w:rsidR="0075633B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09E0925D" w14:textId="77777777" w:rsidR="00D33973" w:rsidRDefault="00D33973" w:rsidP="00D33973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Environmental Maintenance Grant: Authorisation of Match-Funding 50/50 to £1,500 to Shropshire Council for lengthsmen work on Shropshire Council land. </w:t>
      </w:r>
    </w:p>
    <w:p w14:paraId="075BB01D" w14:textId="77777777" w:rsidR="00D33973" w:rsidRDefault="00D33973" w:rsidP="00D33973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It was </w:t>
      </w: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RESOLVED to APPROVE </w:t>
      </w:r>
      <w:r>
        <w:rPr>
          <w:rFonts w:asciiTheme="majorHAnsi" w:hAnsiTheme="majorHAnsi"/>
          <w:color w:val="000000" w:themeColor="text1"/>
          <w:sz w:val="24"/>
          <w:szCs w:val="24"/>
        </w:rPr>
        <w:t>payment of these invoices.</w:t>
      </w:r>
    </w:p>
    <w:p w14:paraId="637FF018" w14:textId="77777777" w:rsidR="00D33973" w:rsidRDefault="00D33973" w:rsidP="00D33973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3E2AC553" w14:textId="77777777" w:rsidR="00D33973" w:rsidRDefault="00D33973" w:rsidP="00D33973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Signed: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dated:</w:t>
      </w:r>
    </w:p>
    <w:p w14:paraId="09E0DD9E" w14:textId="77777777" w:rsidR="00D33973" w:rsidRDefault="00D33973" w:rsidP="00D33973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12A2AF6C" w14:textId="77777777" w:rsidR="00D33973" w:rsidRDefault="00D33973" w:rsidP="00D33973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………………………………….</w:t>
      </w:r>
    </w:p>
    <w:p w14:paraId="06307E7B" w14:textId="77777777" w:rsidR="00D33973" w:rsidRDefault="00D33973" w:rsidP="00D33973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(initial each page)</w:t>
      </w:r>
    </w:p>
    <w:p w14:paraId="0CDBE72A" w14:textId="77777777" w:rsidR="00D33973" w:rsidRDefault="00D33973" w:rsidP="00B3415A">
      <w:pPr>
        <w:rPr>
          <w:rFonts w:asciiTheme="majorHAnsi" w:hAnsiTheme="majorHAnsi"/>
          <w:color w:val="000000" w:themeColor="text1"/>
          <w:sz w:val="24"/>
          <w:szCs w:val="24"/>
        </w:rPr>
      </w:pPr>
    </w:p>
    <w:sectPr w:rsidR="00D33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CA91A" w14:textId="77777777" w:rsidR="00AD2377" w:rsidRDefault="00AD2377" w:rsidP="00247192">
      <w:pPr>
        <w:spacing w:after="0" w:line="240" w:lineRule="auto"/>
      </w:pPr>
      <w:r>
        <w:separator/>
      </w:r>
    </w:p>
  </w:endnote>
  <w:endnote w:type="continuationSeparator" w:id="0">
    <w:p w14:paraId="550BA345" w14:textId="77777777" w:rsidR="00AD2377" w:rsidRDefault="00AD2377" w:rsidP="0024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AEF0E" w14:textId="77777777" w:rsidR="00D04291" w:rsidRDefault="00D04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9160917"/>
      <w:docPartObj>
        <w:docPartGallery w:val="Page Numbers (Bottom of Page)"/>
        <w:docPartUnique/>
      </w:docPartObj>
    </w:sdtPr>
    <w:sdtEndPr/>
    <w:sdtContent>
      <w:p w14:paraId="77CD18EF" w14:textId="1B1BA6F1" w:rsidR="00247192" w:rsidRDefault="00247192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CEDA67" w14:textId="77777777" w:rsidR="00247192" w:rsidRDefault="002471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8BF89" w14:textId="77777777" w:rsidR="00D04291" w:rsidRDefault="00D04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8BB0A" w14:textId="77777777" w:rsidR="00AD2377" w:rsidRDefault="00AD2377" w:rsidP="00247192">
      <w:pPr>
        <w:spacing w:after="0" w:line="240" w:lineRule="auto"/>
      </w:pPr>
      <w:r>
        <w:separator/>
      </w:r>
    </w:p>
  </w:footnote>
  <w:footnote w:type="continuationSeparator" w:id="0">
    <w:p w14:paraId="1C701EBC" w14:textId="77777777" w:rsidR="00AD2377" w:rsidRDefault="00AD2377" w:rsidP="0024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A6CB0" w14:textId="77777777" w:rsidR="00D04291" w:rsidRDefault="00D04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A3581" w14:textId="72357028" w:rsidR="00247192" w:rsidRDefault="00247192">
    <w:pPr>
      <w:pStyle w:val="Header"/>
    </w:pPr>
    <w:r>
      <w:t>Highley Parish Council</w:t>
    </w:r>
    <w:r w:rsidR="00645F52">
      <w:tab/>
      <w:t>2025</w:t>
    </w:r>
  </w:p>
  <w:p w14:paraId="2E58DEB0" w14:textId="77777777" w:rsidR="00247192" w:rsidRDefault="002471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90AC" w14:textId="77777777" w:rsidR="00D04291" w:rsidRDefault="00D04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182F"/>
    <w:multiLevelType w:val="hybridMultilevel"/>
    <w:tmpl w:val="469C4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04BDB"/>
    <w:multiLevelType w:val="hybridMultilevel"/>
    <w:tmpl w:val="5F7ECDCC"/>
    <w:lvl w:ilvl="0" w:tplc="9F726168">
      <w:start w:val="1"/>
      <w:numFmt w:val="lowerLetter"/>
      <w:lvlText w:val="%1."/>
      <w:lvlJc w:val="left"/>
      <w:pPr>
        <w:ind w:left="786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F23ED9"/>
    <w:multiLevelType w:val="multilevel"/>
    <w:tmpl w:val="7708DF3C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494569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525127">
    <w:abstractNumId w:val="0"/>
  </w:num>
  <w:num w:numId="3" w16cid:durableId="1206407701">
    <w:abstractNumId w:val="0"/>
  </w:num>
  <w:num w:numId="4" w16cid:durableId="651103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6336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D5"/>
    <w:rsid w:val="00021D2C"/>
    <w:rsid w:val="00024537"/>
    <w:rsid w:val="0002587F"/>
    <w:rsid w:val="0002720B"/>
    <w:rsid w:val="00037FC0"/>
    <w:rsid w:val="0004181E"/>
    <w:rsid w:val="00043F69"/>
    <w:rsid w:val="0004572E"/>
    <w:rsid w:val="00050C4E"/>
    <w:rsid w:val="00051FED"/>
    <w:rsid w:val="00053413"/>
    <w:rsid w:val="00062D75"/>
    <w:rsid w:val="00064DC9"/>
    <w:rsid w:val="00071B2F"/>
    <w:rsid w:val="00082EF8"/>
    <w:rsid w:val="000877F1"/>
    <w:rsid w:val="00090E0A"/>
    <w:rsid w:val="00091319"/>
    <w:rsid w:val="00093D56"/>
    <w:rsid w:val="00094856"/>
    <w:rsid w:val="000A4BD5"/>
    <w:rsid w:val="000B6FD5"/>
    <w:rsid w:val="000C0BC0"/>
    <w:rsid w:val="000D0250"/>
    <w:rsid w:val="000D1573"/>
    <w:rsid w:val="000D197F"/>
    <w:rsid w:val="000D4815"/>
    <w:rsid w:val="000E09EA"/>
    <w:rsid w:val="000F1FC3"/>
    <w:rsid w:val="000F7F9B"/>
    <w:rsid w:val="00103788"/>
    <w:rsid w:val="001107A3"/>
    <w:rsid w:val="00110B4C"/>
    <w:rsid w:val="00110B9D"/>
    <w:rsid w:val="00117D52"/>
    <w:rsid w:val="00122D51"/>
    <w:rsid w:val="001373B1"/>
    <w:rsid w:val="00137BCF"/>
    <w:rsid w:val="00140E38"/>
    <w:rsid w:val="0014460D"/>
    <w:rsid w:val="001561AA"/>
    <w:rsid w:val="001705EC"/>
    <w:rsid w:val="00172E9B"/>
    <w:rsid w:val="00172F09"/>
    <w:rsid w:val="00173C47"/>
    <w:rsid w:val="001844B0"/>
    <w:rsid w:val="00191478"/>
    <w:rsid w:val="00192733"/>
    <w:rsid w:val="00192A39"/>
    <w:rsid w:val="00197016"/>
    <w:rsid w:val="001A2484"/>
    <w:rsid w:val="001A504C"/>
    <w:rsid w:val="001B6554"/>
    <w:rsid w:val="001B6A36"/>
    <w:rsid w:val="001C2EE6"/>
    <w:rsid w:val="001C3006"/>
    <w:rsid w:val="001C3488"/>
    <w:rsid w:val="001C5730"/>
    <w:rsid w:val="001C7525"/>
    <w:rsid w:val="001D0AEB"/>
    <w:rsid w:val="001E304A"/>
    <w:rsid w:val="001E5C55"/>
    <w:rsid w:val="001E6CDC"/>
    <w:rsid w:val="001F042F"/>
    <w:rsid w:val="001F13DB"/>
    <w:rsid w:val="001F1F3E"/>
    <w:rsid w:val="001F733E"/>
    <w:rsid w:val="00200314"/>
    <w:rsid w:val="002045FE"/>
    <w:rsid w:val="00206642"/>
    <w:rsid w:val="0021761B"/>
    <w:rsid w:val="002215C3"/>
    <w:rsid w:val="002357EB"/>
    <w:rsid w:val="0023783D"/>
    <w:rsid w:val="002452E6"/>
    <w:rsid w:val="00247192"/>
    <w:rsid w:val="00260DE7"/>
    <w:rsid w:val="00261589"/>
    <w:rsid w:val="002637A1"/>
    <w:rsid w:val="00281A95"/>
    <w:rsid w:val="00285909"/>
    <w:rsid w:val="002A2625"/>
    <w:rsid w:val="002B36F6"/>
    <w:rsid w:val="002B61CF"/>
    <w:rsid w:val="002C1D7D"/>
    <w:rsid w:val="002D6742"/>
    <w:rsid w:val="003010E9"/>
    <w:rsid w:val="003027DE"/>
    <w:rsid w:val="00306EDE"/>
    <w:rsid w:val="00307850"/>
    <w:rsid w:val="00317222"/>
    <w:rsid w:val="00326D58"/>
    <w:rsid w:val="00330B90"/>
    <w:rsid w:val="00335B90"/>
    <w:rsid w:val="00345028"/>
    <w:rsid w:val="00346827"/>
    <w:rsid w:val="0034779F"/>
    <w:rsid w:val="00357CFC"/>
    <w:rsid w:val="00360114"/>
    <w:rsid w:val="00361EF1"/>
    <w:rsid w:val="00372A82"/>
    <w:rsid w:val="00377399"/>
    <w:rsid w:val="00380554"/>
    <w:rsid w:val="00382F1C"/>
    <w:rsid w:val="003833DD"/>
    <w:rsid w:val="003906C5"/>
    <w:rsid w:val="003933CB"/>
    <w:rsid w:val="003968D4"/>
    <w:rsid w:val="00397202"/>
    <w:rsid w:val="003A19B8"/>
    <w:rsid w:val="003A5B4F"/>
    <w:rsid w:val="003A61BE"/>
    <w:rsid w:val="003B1DDF"/>
    <w:rsid w:val="003B716B"/>
    <w:rsid w:val="003C31CE"/>
    <w:rsid w:val="003D3E3A"/>
    <w:rsid w:val="003D410A"/>
    <w:rsid w:val="003F22F6"/>
    <w:rsid w:val="003F5FAE"/>
    <w:rsid w:val="003F611B"/>
    <w:rsid w:val="00402CEA"/>
    <w:rsid w:val="00407F09"/>
    <w:rsid w:val="004105FD"/>
    <w:rsid w:val="00420336"/>
    <w:rsid w:val="00424AC8"/>
    <w:rsid w:val="00435A2F"/>
    <w:rsid w:val="0044026D"/>
    <w:rsid w:val="00447D15"/>
    <w:rsid w:val="00452F7D"/>
    <w:rsid w:val="004534DA"/>
    <w:rsid w:val="00453581"/>
    <w:rsid w:val="004542D4"/>
    <w:rsid w:val="00454DD3"/>
    <w:rsid w:val="00456DF9"/>
    <w:rsid w:val="00477A6E"/>
    <w:rsid w:val="0048232F"/>
    <w:rsid w:val="004823DA"/>
    <w:rsid w:val="00490AA7"/>
    <w:rsid w:val="004915C7"/>
    <w:rsid w:val="00491E8E"/>
    <w:rsid w:val="004949A6"/>
    <w:rsid w:val="00495877"/>
    <w:rsid w:val="004A478A"/>
    <w:rsid w:val="004B1F94"/>
    <w:rsid w:val="004B322B"/>
    <w:rsid w:val="004B3E05"/>
    <w:rsid w:val="004D131E"/>
    <w:rsid w:val="004D2F65"/>
    <w:rsid w:val="004D6D9B"/>
    <w:rsid w:val="004F1A22"/>
    <w:rsid w:val="004F1B6E"/>
    <w:rsid w:val="004F253A"/>
    <w:rsid w:val="00500D81"/>
    <w:rsid w:val="00501564"/>
    <w:rsid w:val="00501985"/>
    <w:rsid w:val="00503E4B"/>
    <w:rsid w:val="0050627C"/>
    <w:rsid w:val="005067A4"/>
    <w:rsid w:val="00510807"/>
    <w:rsid w:val="00510DBB"/>
    <w:rsid w:val="00520E00"/>
    <w:rsid w:val="00526985"/>
    <w:rsid w:val="00533CA9"/>
    <w:rsid w:val="00535466"/>
    <w:rsid w:val="005549E7"/>
    <w:rsid w:val="00560C6A"/>
    <w:rsid w:val="005613C3"/>
    <w:rsid w:val="00566EFC"/>
    <w:rsid w:val="00567F7D"/>
    <w:rsid w:val="005723D5"/>
    <w:rsid w:val="00577FD2"/>
    <w:rsid w:val="00581682"/>
    <w:rsid w:val="00582C1C"/>
    <w:rsid w:val="005872A2"/>
    <w:rsid w:val="005876BB"/>
    <w:rsid w:val="0059085E"/>
    <w:rsid w:val="00590B2D"/>
    <w:rsid w:val="00593FCA"/>
    <w:rsid w:val="00594F0F"/>
    <w:rsid w:val="0059722B"/>
    <w:rsid w:val="005A4292"/>
    <w:rsid w:val="005A4FFD"/>
    <w:rsid w:val="005A50DA"/>
    <w:rsid w:val="005A55A1"/>
    <w:rsid w:val="005A5FD9"/>
    <w:rsid w:val="005A7A4E"/>
    <w:rsid w:val="005B63A4"/>
    <w:rsid w:val="005C6AA4"/>
    <w:rsid w:val="005C6EB7"/>
    <w:rsid w:val="005C7CD6"/>
    <w:rsid w:val="005D1EB4"/>
    <w:rsid w:val="005D2977"/>
    <w:rsid w:val="005D4905"/>
    <w:rsid w:val="005D76B6"/>
    <w:rsid w:val="005E75FC"/>
    <w:rsid w:val="005F097C"/>
    <w:rsid w:val="005F1F10"/>
    <w:rsid w:val="005F6F4D"/>
    <w:rsid w:val="00613BCA"/>
    <w:rsid w:val="0061744E"/>
    <w:rsid w:val="00621A91"/>
    <w:rsid w:val="00630995"/>
    <w:rsid w:val="00637AB1"/>
    <w:rsid w:val="00645F52"/>
    <w:rsid w:val="00647139"/>
    <w:rsid w:val="006604B7"/>
    <w:rsid w:val="00660B3A"/>
    <w:rsid w:val="0066149A"/>
    <w:rsid w:val="006710C8"/>
    <w:rsid w:val="00676B54"/>
    <w:rsid w:val="006815E7"/>
    <w:rsid w:val="006828DA"/>
    <w:rsid w:val="006A20DC"/>
    <w:rsid w:val="006A4B05"/>
    <w:rsid w:val="006B5DCC"/>
    <w:rsid w:val="006C48FC"/>
    <w:rsid w:val="006C7F24"/>
    <w:rsid w:val="006D358A"/>
    <w:rsid w:val="006D4872"/>
    <w:rsid w:val="006E0D82"/>
    <w:rsid w:val="006F1DAF"/>
    <w:rsid w:val="006F385A"/>
    <w:rsid w:val="006F7D7B"/>
    <w:rsid w:val="00702D38"/>
    <w:rsid w:val="00717319"/>
    <w:rsid w:val="007174BA"/>
    <w:rsid w:val="0072522F"/>
    <w:rsid w:val="00726FDF"/>
    <w:rsid w:val="00731CDE"/>
    <w:rsid w:val="00743DB2"/>
    <w:rsid w:val="00745B5C"/>
    <w:rsid w:val="007536F3"/>
    <w:rsid w:val="0075633B"/>
    <w:rsid w:val="00763F1A"/>
    <w:rsid w:val="007646B0"/>
    <w:rsid w:val="007703B4"/>
    <w:rsid w:val="0078260D"/>
    <w:rsid w:val="00782DAB"/>
    <w:rsid w:val="00784ADF"/>
    <w:rsid w:val="00797744"/>
    <w:rsid w:val="007B44F9"/>
    <w:rsid w:val="007D1A78"/>
    <w:rsid w:val="007D1FDB"/>
    <w:rsid w:val="007D2284"/>
    <w:rsid w:val="007F6E58"/>
    <w:rsid w:val="007F7D6C"/>
    <w:rsid w:val="008017F5"/>
    <w:rsid w:val="00802819"/>
    <w:rsid w:val="00814376"/>
    <w:rsid w:val="0082552E"/>
    <w:rsid w:val="00827FBF"/>
    <w:rsid w:val="008334DE"/>
    <w:rsid w:val="00840716"/>
    <w:rsid w:val="008418BB"/>
    <w:rsid w:val="00843CAB"/>
    <w:rsid w:val="00845E40"/>
    <w:rsid w:val="008462A5"/>
    <w:rsid w:val="0085392B"/>
    <w:rsid w:val="00853D21"/>
    <w:rsid w:val="00855A60"/>
    <w:rsid w:val="00855C54"/>
    <w:rsid w:val="00855CFA"/>
    <w:rsid w:val="00860F14"/>
    <w:rsid w:val="008630FE"/>
    <w:rsid w:val="00871C2E"/>
    <w:rsid w:val="00877E42"/>
    <w:rsid w:val="008871F3"/>
    <w:rsid w:val="00890D16"/>
    <w:rsid w:val="00893BB4"/>
    <w:rsid w:val="00896423"/>
    <w:rsid w:val="00897697"/>
    <w:rsid w:val="008A0328"/>
    <w:rsid w:val="008A0DEA"/>
    <w:rsid w:val="008A5C68"/>
    <w:rsid w:val="008A6803"/>
    <w:rsid w:val="008A6EBD"/>
    <w:rsid w:val="008B1E80"/>
    <w:rsid w:val="008B3B1B"/>
    <w:rsid w:val="008B5486"/>
    <w:rsid w:val="008C23FD"/>
    <w:rsid w:val="008C3455"/>
    <w:rsid w:val="008D3DF2"/>
    <w:rsid w:val="008E6D2C"/>
    <w:rsid w:val="008F0993"/>
    <w:rsid w:val="008F779E"/>
    <w:rsid w:val="00900948"/>
    <w:rsid w:val="00904C40"/>
    <w:rsid w:val="00913D60"/>
    <w:rsid w:val="00915FEC"/>
    <w:rsid w:val="009270A5"/>
    <w:rsid w:val="009318F9"/>
    <w:rsid w:val="00934557"/>
    <w:rsid w:val="009348F0"/>
    <w:rsid w:val="009349DE"/>
    <w:rsid w:val="0093518E"/>
    <w:rsid w:val="009357DC"/>
    <w:rsid w:val="00936D65"/>
    <w:rsid w:val="009450E6"/>
    <w:rsid w:val="0094562C"/>
    <w:rsid w:val="009472A1"/>
    <w:rsid w:val="00951B92"/>
    <w:rsid w:val="00951F10"/>
    <w:rsid w:val="00952BC2"/>
    <w:rsid w:val="0097108F"/>
    <w:rsid w:val="00976C51"/>
    <w:rsid w:val="00980A84"/>
    <w:rsid w:val="00992544"/>
    <w:rsid w:val="00992A0E"/>
    <w:rsid w:val="009A5A23"/>
    <w:rsid w:val="009A76D8"/>
    <w:rsid w:val="009B1DE9"/>
    <w:rsid w:val="009B3B64"/>
    <w:rsid w:val="009C0DFF"/>
    <w:rsid w:val="009C385A"/>
    <w:rsid w:val="009C7583"/>
    <w:rsid w:val="009D2814"/>
    <w:rsid w:val="009D2F81"/>
    <w:rsid w:val="009E20B5"/>
    <w:rsid w:val="009F5D05"/>
    <w:rsid w:val="009F6F1C"/>
    <w:rsid w:val="00A02C2A"/>
    <w:rsid w:val="00A048A7"/>
    <w:rsid w:val="00A111E1"/>
    <w:rsid w:val="00A11F3F"/>
    <w:rsid w:val="00A12A55"/>
    <w:rsid w:val="00A1308B"/>
    <w:rsid w:val="00A179D7"/>
    <w:rsid w:val="00A26142"/>
    <w:rsid w:val="00A31BD9"/>
    <w:rsid w:val="00A512C9"/>
    <w:rsid w:val="00A523F9"/>
    <w:rsid w:val="00A531F1"/>
    <w:rsid w:val="00A542C9"/>
    <w:rsid w:val="00A5627F"/>
    <w:rsid w:val="00A60351"/>
    <w:rsid w:val="00A61E2F"/>
    <w:rsid w:val="00A62846"/>
    <w:rsid w:val="00A63445"/>
    <w:rsid w:val="00A67E80"/>
    <w:rsid w:val="00A67F63"/>
    <w:rsid w:val="00A7712D"/>
    <w:rsid w:val="00A86DDA"/>
    <w:rsid w:val="00A902A5"/>
    <w:rsid w:val="00A94DD9"/>
    <w:rsid w:val="00A95E5D"/>
    <w:rsid w:val="00AB236A"/>
    <w:rsid w:val="00AB5AFC"/>
    <w:rsid w:val="00AC0A82"/>
    <w:rsid w:val="00AC0F4B"/>
    <w:rsid w:val="00AD2377"/>
    <w:rsid w:val="00AD24E3"/>
    <w:rsid w:val="00AD3392"/>
    <w:rsid w:val="00AD3BE5"/>
    <w:rsid w:val="00AD5AFE"/>
    <w:rsid w:val="00AE15BB"/>
    <w:rsid w:val="00AE2094"/>
    <w:rsid w:val="00AE2805"/>
    <w:rsid w:val="00AE6ED8"/>
    <w:rsid w:val="00AE749C"/>
    <w:rsid w:val="00AF2134"/>
    <w:rsid w:val="00AF347A"/>
    <w:rsid w:val="00B0004F"/>
    <w:rsid w:val="00B03AA6"/>
    <w:rsid w:val="00B04F9C"/>
    <w:rsid w:val="00B12AF6"/>
    <w:rsid w:val="00B146BB"/>
    <w:rsid w:val="00B14F92"/>
    <w:rsid w:val="00B15952"/>
    <w:rsid w:val="00B217E2"/>
    <w:rsid w:val="00B2322D"/>
    <w:rsid w:val="00B2381E"/>
    <w:rsid w:val="00B260AE"/>
    <w:rsid w:val="00B31B82"/>
    <w:rsid w:val="00B3415A"/>
    <w:rsid w:val="00B34E99"/>
    <w:rsid w:val="00B36618"/>
    <w:rsid w:val="00B40A87"/>
    <w:rsid w:val="00B43BD2"/>
    <w:rsid w:val="00B54AEF"/>
    <w:rsid w:val="00B64FED"/>
    <w:rsid w:val="00B660B3"/>
    <w:rsid w:val="00B7048B"/>
    <w:rsid w:val="00B7351B"/>
    <w:rsid w:val="00B74530"/>
    <w:rsid w:val="00B75787"/>
    <w:rsid w:val="00B76DAF"/>
    <w:rsid w:val="00B8213F"/>
    <w:rsid w:val="00B83ED9"/>
    <w:rsid w:val="00B84755"/>
    <w:rsid w:val="00B93307"/>
    <w:rsid w:val="00B94CF5"/>
    <w:rsid w:val="00BA17E3"/>
    <w:rsid w:val="00BA41BE"/>
    <w:rsid w:val="00BB7EA4"/>
    <w:rsid w:val="00BD1515"/>
    <w:rsid w:val="00BD2625"/>
    <w:rsid w:val="00BE28BC"/>
    <w:rsid w:val="00BE4C82"/>
    <w:rsid w:val="00BE4FE5"/>
    <w:rsid w:val="00BF0E68"/>
    <w:rsid w:val="00C10EB0"/>
    <w:rsid w:val="00C16B53"/>
    <w:rsid w:val="00C3378D"/>
    <w:rsid w:val="00C45B40"/>
    <w:rsid w:val="00C46B7D"/>
    <w:rsid w:val="00C50DA9"/>
    <w:rsid w:val="00C51E91"/>
    <w:rsid w:val="00C536FE"/>
    <w:rsid w:val="00C56F60"/>
    <w:rsid w:val="00C638E9"/>
    <w:rsid w:val="00C64679"/>
    <w:rsid w:val="00C652D8"/>
    <w:rsid w:val="00C66C1B"/>
    <w:rsid w:val="00C732F1"/>
    <w:rsid w:val="00C913AA"/>
    <w:rsid w:val="00C94BEA"/>
    <w:rsid w:val="00C95EE7"/>
    <w:rsid w:val="00CA4B4B"/>
    <w:rsid w:val="00CA554D"/>
    <w:rsid w:val="00CB16C6"/>
    <w:rsid w:val="00CB41A6"/>
    <w:rsid w:val="00CC0B9E"/>
    <w:rsid w:val="00CC1A45"/>
    <w:rsid w:val="00CC2313"/>
    <w:rsid w:val="00CD0FD2"/>
    <w:rsid w:val="00CD1006"/>
    <w:rsid w:val="00CE1595"/>
    <w:rsid w:val="00CE3670"/>
    <w:rsid w:val="00CF55EE"/>
    <w:rsid w:val="00CF5FA2"/>
    <w:rsid w:val="00D01FDA"/>
    <w:rsid w:val="00D04291"/>
    <w:rsid w:val="00D167D3"/>
    <w:rsid w:val="00D33973"/>
    <w:rsid w:val="00D34157"/>
    <w:rsid w:val="00D422EB"/>
    <w:rsid w:val="00D4265E"/>
    <w:rsid w:val="00D4483C"/>
    <w:rsid w:val="00D64C1C"/>
    <w:rsid w:val="00D65D11"/>
    <w:rsid w:val="00D81CF1"/>
    <w:rsid w:val="00D85DFE"/>
    <w:rsid w:val="00D92091"/>
    <w:rsid w:val="00D9702B"/>
    <w:rsid w:val="00DA0350"/>
    <w:rsid w:val="00DB17EF"/>
    <w:rsid w:val="00DC20C2"/>
    <w:rsid w:val="00DD09CF"/>
    <w:rsid w:val="00DE04E7"/>
    <w:rsid w:val="00DE75A2"/>
    <w:rsid w:val="00DF403F"/>
    <w:rsid w:val="00DF6E57"/>
    <w:rsid w:val="00E020CA"/>
    <w:rsid w:val="00E0272B"/>
    <w:rsid w:val="00E14E37"/>
    <w:rsid w:val="00E15F39"/>
    <w:rsid w:val="00E1612C"/>
    <w:rsid w:val="00E20A86"/>
    <w:rsid w:val="00E22B19"/>
    <w:rsid w:val="00E2572A"/>
    <w:rsid w:val="00E30D90"/>
    <w:rsid w:val="00E31E57"/>
    <w:rsid w:val="00E36B21"/>
    <w:rsid w:val="00E4107A"/>
    <w:rsid w:val="00E41823"/>
    <w:rsid w:val="00E44243"/>
    <w:rsid w:val="00E469FB"/>
    <w:rsid w:val="00E56B22"/>
    <w:rsid w:val="00E6116C"/>
    <w:rsid w:val="00E70E10"/>
    <w:rsid w:val="00E77B93"/>
    <w:rsid w:val="00E84555"/>
    <w:rsid w:val="00E91C6E"/>
    <w:rsid w:val="00E95EA6"/>
    <w:rsid w:val="00E971D2"/>
    <w:rsid w:val="00EA45A2"/>
    <w:rsid w:val="00EA7C75"/>
    <w:rsid w:val="00EB70AF"/>
    <w:rsid w:val="00EC2C9A"/>
    <w:rsid w:val="00ED5100"/>
    <w:rsid w:val="00EF5748"/>
    <w:rsid w:val="00F15A7C"/>
    <w:rsid w:val="00F34DEF"/>
    <w:rsid w:val="00F41DE6"/>
    <w:rsid w:val="00F64ED2"/>
    <w:rsid w:val="00F67862"/>
    <w:rsid w:val="00F716FF"/>
    <w:rsid w:val="00F75E98"/>
    <w:rsid w:val="00F90EBF"/>
    <w:rsid w:val="00F96FD7"/>
    <w:rsid w:val="00F96FE0"/>
    <w:rsid w:val="00FB73BA"/>
    <w:rsid w:val="00FD1400"/>
    <w:rsid w:val="00FD48AC"/>
    <w:rsid w:val="00FD5049"/>
    <w:rsid w:val="00FD60F6"/>
    <w:rsid w:val="00FE38BF"/>
    <w:rsid w:val="00FE4304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996B7"/>
  <w15:chartTrackingRefBased/>
  <w15:docId w15:val="{7F3FA9B6-AF8E-464B-BBE9-E37924D5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15A"/>
  </w:style>
  <w:style w:type="paragraph" w:styleId="Heading1">
    <w:name w:val="heading 1"/>
    <w:basedOn w:val="Normal"/>
    <w:next w:val="Normal"/>
    <w:link w:val="Heading1Char"/>
    <w:uiPriority w:val="9"/>
    <w:qFormat/>
    <w:rsid w:val="00B3415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15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15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1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1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1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1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1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1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15A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15A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15A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15A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15A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15A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15A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15A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B3415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3415A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15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15A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15A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3415A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0B6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15A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15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15A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3415A"/>
    <w:rPr>
      <w:b/>
      <w:bCs/>
      <w:smallCaps/>
      <w:color w:val="0E2841" w:themeColor="text2"/>
      <w:u w:val="single"/>
    </w:rPr>
  </w:style>
  <w:style w:type="character" w:styleId="Hyperlink">
    <w:name w:val="Hyperlink"/>
    <w:uiPriority w:val="99"/>
    <w:semiHidden/>
    <w:unhideWhenUsed/>
    <w:rsid w:val="00B0004F"/>
    <w:rPr>
      <w:color w:val="0563C1"/>
      <w:u w:val="single"/>
    </w:rPr>
  </w:style>
  <w:style w:type="paragraph" w:styleId="NoSpacing">
    <w:name w:val="No Spacing"/>
    <w:uiPriority w:val="1"/>
    <w:qFormat/>
    <w:rsid w:val="00B341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7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192"/>
    <w:rPr>
      <w:rFonts w:ascii="Calibri" w:eastAsia="Calibri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7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192"/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description">
    <w:name w:val="description"/>
    <w:basedOn w:val="DefaultParagraphFont"/>
    <w:rsid w:val="00B54AEF"/>
  </w:style>
  <w:style w:type="character" w:customStyle="1" w:styleId="casenumber">
    <w:name w:val="casenumber"/>
    <w:basedOn w:val="DefaultParagraphFont"/>
    <w:rsid w:val="00B54AEF"/>
  </w:style>
  <w:style w:type="character" w:customStyle="1" w:styleId="divider1">
    <w:name w:val="divider1"/>
    <w:basedOn w:val="DefaultParagraphFont"/>
    <w:rsid w:val="00B54AEF"/>
  </w:style>
  <w:style w:type="table" w:customStyle="1" w:styleId="TableGrid1">
    <w:name w:val="Table Grid1"/>
    <w:basedOn w:val="TableNormal"/>
    <w:uiPriority w:val="39"/>
    <w:rsid w:val="008A6E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3415A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B3415A"/>
    <w:rPr>
      <w:b/>
      <w:bCs/>
    </w:rPr>
  </w:style>
  <w:style w:type="character" w:styleId="Emphasis">
    <w:name w:val="Emphasis"/>
    <w:basedOn w:val="DefaultParagraphFont"/>
    <w:uiPriority w:val="20"/>
    <w:qFormat/>
    <w:rsid w:val="00B3415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3415A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B3415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B3415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41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52</cp:revision>
  <cp:lastPrinted>2025-05-13T09:09:00Z</cp:lastPrinted>
  <dcterms:created xsi:type="dcterms:W3CDTF">2025-05-10T12:22:00Z</dcterms:created>
  <dcterms:modified xsi:type="dcterms:W3CDTF">2025-05-27T08:08:00Z</dcterms:modified>
</cp:coreProperties>
</file>